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CEA70" w14:textId="714C014E" w:rsidR="004A65B1" w:rsidRPr="00A0249F" w:rsidRDefault="004A65B1" w:rsidP="008B7256">
      <w:pPr>
        <w:ind w:left="4253"/>
        <w:rPr>
          <w:color w:val="4B7083"/>
          <w:sz w:val="32"/>
          <w:lang w:val="en-US"/>
        </w:rPr>
      </w:pPr>
    </w:p>
    <w:p w14:paraId="428A93D1" w14:textId="77777777" w:rsidR="00B46F01" w:rsidRPr="005A3F27" w:rsidRDefault="00B46F01" w:rsidP="008B7256">
      <w:pPr>
        <w:ind w:left="4253"/>
        <w:rPr>
          <w:color w:val="4B7083"/>
          <w:sz w:val="32"/>
        </w:rPr>
      </w:pPr>
    </w:p>
    <w:p w14:paraId="6D5C25A2" w14:textId="351FC2A0" w:rsidR="00D9115F" w:rsidRPr="005A3F27" w:rsidRDefault="00D9115F" w:rsidP="00D9115F">
      <w:pPr>
        <w:ind w:left="4253"/>
        <w:rPr>
          <w:color w:val="4B7083"/>
          <w:sz w:val="32"/>
        </w:rPr>
      </w:pPr>
    </w:p>
    <w:p w14:paraId="1E7A3D7B" w14:textId="52956ADA" w:rsidR="009F7A66" w:rsidRPr="005A3F27" w:rsidRDefault="009F7A66" w:rsidP="00D9115F">
      <w:pPr>
        <w:ind w:left="4253"/>
        <w:rPr>
          <w:color w:val="4B7083"/>
          <w:sz w:val="32"/>
        </w:rPr>
      </w:pPr>
    </w:p>
    <w:p w14:paraId="49311EDC" w14:textId="77777777" w:rsidR="009F7A66" w:rsidRPr="005A3F27" w:rsidRDefault="009F7A66" w:rsidP="00D9115F">
      <w:pPr>
        <w:ind w:left="4253"/>
        <w:rPr>
          <w:color w:val="4B7083"/>
          <w:sz w:val="32"/>
        </w:rPr>
      </w:pPr>
    </w:p>
    <w:p w14:paraId="2E08A6CE" w14:textId="5EE2456F" w:rsidR="001D3FCE" w:rsidRPr="005A3F27" w:rsidRDefault="001D3FCE" w:rsidP="000C3A41">
      <w:pPr>
        <w:pStyle w:val="TitleSub"/>
        <w:ind w:left="3402"/>
        <w:jc w:val="right"/>
        <w:rPr>
          <w:b/>
          <w:szCs w:val="48"/>
        </w:rPr>
      </w:pPr>
      <w:bookmarkStart w:id="0" w:name="_Hlk95382304"/>
      <w:r w:rsidRPr="005A3F27">
        <w:rPr>
          <w:b/>
          <w:szCs w:val="48"/>
        </w:rPr>
        <w:t>G</w:t>
      </w:r>
      <w:r w:rsidR="000C3A41" w:rsidRPr="005A3F27">
        <w:rPr>
          <w:b/>
          <w:szCs w:val="48"/>
        </w:rPr>
        <w:t>reen Bond Framework</w:t>
      </w:r>
    </w:p>
    <w:p w14:paraId="298E9662" w14:textId="48F8C26F" w:rsidR="000C3A41" w:rsidRPr="005A3F27" w:rsidRDefault="000C3A41" w:rsidP="000C3A41">
      <w:pPr>
        <w:pStyle w:val="TitleSub"/>
        <w:ind w:left="3402"/>
        <w:jc w:val="right"/>
        <w:rPr>
          <w:b/>
          <w:szCs w:val="48"/>
        </w:rPr>
      </w:pPr>
    </w:p>
    <w:p w14:paraId="55244567" w14:textId="77777777" w:rsidR="000C3A41" w:rsidRPr="005A3F27" w:rsidRDefault="000C3A41" w:rsidP="000C3A41">
      <w:pPr>
        <w:pStyle w:val="TitleSub"/>
        <w:ind w:left="3402"/>
        <w:jc w:val="right"/>
        <w:rPr>
          <w:b/>
          <w:szCs w:val="48"/>
        </w:rPr>
      </w:pPr>
    </w:p>
    <w:p w14:paraId="5DA31B83" w14:textId="77A6D355" w:rsidR="000E2B60" w:rsidRPr="005A3F27" w:rsidRDefault="001D3FCE" w:rsidP="001D3FCE">
      <w:pPr>
        <w:pStyle w:val="TitleSub"/>
        <w:ind w:left="3402"/>
        <w:jc w:val="right"/>
        <w:rPr>
          <w:b/>
          <w:szCs w:val="48"/>
        </w:rPr>
      </w:pPr>
      <w:r w:rsidRPr="005A3F27">
        <w:rPr>
          <w:b/>
          <w:szCs w:val="48"/>
        </w:rPr>
        <w:t xml:space="preserve">Developed for </w:t>
      </w:r>
      <w:r w:rsidR="004973A8" w:rsidRPr="004973A8">
        <w:rPr>
          <w:b/>
          <w:szCs w:val="48"/>
        </w:rPr>
        <w:t>ARMSWISSBANK</w:t>
      </w:r>
    </w:p>
    <w:p w14:paraId="1771DE55" w14:textId="77777777" w:rsidR="00064434" w:rsidRPr="005A3F27" w:rsidRDefault="00064434" w:rsidP="000B7173">
      <w:pPr>
        <w:pStyle w:val="TitleSub"/>
        <w:ind w:left="3402"/>
        <w:jc w:val="right"/>
        <w:rPr>
          <w:b/>
          <w:bCs/>
          <w:szCs w:val="48"/>
        </w:rPr>
      </w:pPr>
    </w:p>
    <w:bookmarkEnd w:id="0"/>
    <w:p w14:paraId="281A7DFD" w14:textId="1B856301" w:rsidR="00C10F33" w:rsidRPr="005A3F27" w:rsidRDefault="00901C77" w:rsidP="00B653A3">
      <w:pPr>
        <w:pStyle w:val="TitleDate"/>
        <w:ind w:left="143" w:firstLine="4253"/>
        <w:jc w:val="right"/>
      </w:pPr>
      <w:r>
        <w:t>19</w:t>
      </w:r>
      <w:r w:rsidR="000B7173" w:rsidRPr="005A3F27">
        <w:t xml:space="preserve"> </w:t>
      </w:r>
      <w:r>
        <w:t>July</w:t>
      </w:r>
      <w:r w:rsidR="00064434" w:rsidRPr="005A3F27">
        <w:t xml:space="preserve"> </w:t>
      </w:r>
      <w:r w:rsidR="000E2B60" w:rsidRPr="005A3F27">
        <w:t>202</w:t>
      </w:r>
      <w:r w:rsidR="000B7173" w:rsidRPr="005A3F27">
        <w:t>2</w:t>
      </w:r>
    </w:p>
    <w:p w14:paraId="3DF8EA2B" w14:textId="614BF208" w:rsidR="000C3A41" w:rsidRPr="005A3F27" w:rsidRDefault="006A3BB1" w:rsidP="000C3A41">
      <w:r w:rsidRPr="005A3F27">
        <w:br w:type="page"/>
      </w:r>
      <w:r w:rsidR="000C3A41" w:rsidRPr="005A3F27">
        <w:lastRenderedPageBreak/>
        <w:t xml:space="preserve">This report has been prepared for </w:t>
      </w:r>
      <w:r w:rsidR="004973A8">
        <w:t>ARMSWISSBANK</w:t>
      </w:r>
      <w:r w:rsidR="004973A8" w:rsidRPr="005A3F27">
        <w:t xml:space="preserve"> </w:t>
      </w:r>
      <w:r w:rsidR="000C3A41" w:rsidRPr="005A3F27">
        <w:t>CJSC as part of work for the assignment “Engagement of International Consulting Company for designing the Model Framework Structure and Content for the issuance of Green Bonds in Armenia (Green Bond Framework) and assistance to 2 competitively selected entities in negotiations with potential investors” with the donor being the Green Climate Fund (GCF) under the “Readiness and Preparatory Support Programme”.</w:t>
      </w:r>
    </w:p>
    <w:p w14:paraId="113C4153" w14:textId="77777777" w:rsidR="000C3A41" w:rsidRPr="005A3F27" w:rsidRDefault="000C3A41" w:rsidP="000C3A41"/>
    <w:p w14:paraId="4FA2CE7D" w14:textId="0DD26ECA" w:rsidR="000C3A41" w:rsidRPr="005A3F27" w:rsidRDefault="000C3A41" w:rsidP="000C3A41">
      <w:pPr>
        <w:tabs>
          <w:tab w:val="left" w:pos="2130"/>
        </w:tabs>
      </w:pPr>
      <w:r w:rsidRPr="005A3F27">
        <w:rPr>
          <w:b/>
        </w:rPr>
        <w:t>Published by:</w:t>
      </w:r>
      <w:r w:rsidRPr="005A3F27">
        <w:tab/>
        <w:t>Eco Ltd and DAI, with sub-contractor Emergy</w:t>
      </w:r>
      <w:r w:rsidR="000A17D3" w:rsidRPr="005A3F27">
        <w:t xml:space="preserve"> Capital Markets S.à r.l.</w:t>
      </w:r>
    </w:p>
    <w:p w14:paraId="33D87A3C" w14:textId="77777777" w:rsidR="000C3A41" w:rsidRPr="005A3F27" w:rsidRDefault="000C3A41" w:rsidP="000C3A41">
      <w:pPr>
        <w:tabs>
          <w:tab w:val="left" w:pos="2132"/>
        </w:tabs>
      </w:pPr>
      <w:r w:rsidRPr="005A3F27">
        <w:rPr>
          <w:b/>
        </w:rPr>
        <w:t>Copyright:</w:t>
      </w:r>
      <w:r w:rsidRPr="005A3F27">
        <w:tab/>
      </w:r>
      <w:r w:rsidRPr="005A3F27">
        <w:tab/>
      </w:r>
      <w:r w:rsidRPr="005A3F27">
        <w:tab/>
        <w:t>Eco Ltd</w:t>
      </w:r>
    </w:p>
    <w:p w14:paraId="3DB1BC42" w14:textId="77777777" w:rsidR="000C3A41" w:rsidRPr="005A3F27" w:rsidRDefault="000C3A41" w:rsidP="000C3A41">
      <w:pPr>
        <w:tabs>
          <w:tab w:val="left" w:pos="2132"/>
        </w:tabs>
      </w:pPr>
      <w:bookmarkStart w:id="1" w:name="_Hlk50036313"/>
      <w:r w:rsidRPr="005A3F27">
        <w:rPr>
          <w:b/>
        </w:rPr>
        <w:t>Team leader:</w:t>
      </w:r>
      <w:r w:rsidRPr="005A3F27">
        <w:tab/>
        <w:t xml:space="preserve">Seth Landau, E Co. </w:t>
      </w:r>
      <w:r w:rsidRPr="005A3F27">
        <w:rPr>
          <w:rFonts w:cs="Arial"/>
        </w:rPr>
        <w:t>seth@ecoltdgroup.com</w:t>
      </w:r>
    </w:p>
    <w:bookmarkEnd w:id="1"/>
    <w:p w14:paraId="668FFC67" w14:textId="6AA34AEB" w:rsidR="000C3A41" w:rsidRPr="005A3F27" w:rsidRDefault="000C3A41" w:rsidP="000C3A41">
      <w:pPr>
        <w:tabs>
          <w:tab w:val="left" w:pos="2132"/>
        </w:tabs>
      </w:pPr>
      <w:r w:rsidRPr="005A3F27">
        <w:rPr>
          <w:b/>
        </w:rPr>
        <w:t>Authors:</w:t>
      </w:r>
      <w:r w:rsidRPr="005A3F27">
        <w:tab/>
      </w:r>
      <w:r w:rsidR="000A17D3" w:rsidRPr="005A3F27">
        <w:t>Yves Speeckaert, James Naughton</w:t>
      </w:r>
    </w:p>
    <w:p w14:paraId="738FA062" w14:textId="51611782" w:rsidR="000C3A41" w:rsidRPr="005A3F27" w:rsidRDefault="000A17D3" w:rsidP="000C3A41">
      <w:pPr>
        <w:tabs>
          <w:tab w:val="left" w:pos="2132"/>
        </w:tabs>
      </w:pPr>
      <w:r w:rsidRPr="005A3F27">
        <w:rPr>
          <w:b/>
        </w:rPr>
        <w:t>L</w:t>
      </w:r>
      <w:r w:rsidR="000C3A41" w:rsidRPr="005A3F27">
        <w:rPr>
          <w:b/>
        </w:rPr>
        <w:t>ast edited:</w:t>
      </w:r>
      <w:r w:rsidR="000C3A41" w:rsidRPr="005A3F27">
        <w:tab/>
      </w:r>
      <w:r w:rsidR="000C3A41" w:rsidRPr="005A3F27">
        <w:tab/>
      </w:r>
      <w:r w:rsidR="000C3A41" w:rsidRPr="005A3F27">
        <w:fldChar w:fldCharType="begin"/>
      </w:r>
      <w:r w:rsidR="000C3A41" w:rsidRPr="005A3F27">
        <w:instrText xml:space="preserve"> SAVEDATE \@ "dd MMMM yyyy" \* MERGEFORMAT </w:instrText>
      </w:r>
      <w:r w:rsidR="000C3A41" w:rsidRPr="005A3F27">
        <w:fldChar w:fldCharType="separate"/>
      </w:r>
      <w:r w:rsidR="00901C77">
        <w:rPr>
          <w:noProof/>
        </w:rPr>
        <w:t>19 July 2022</w:t>
      </w:r>
      <w:r w:rsidR="000C3A41" w:rsidRPr="005A3F27">
        <w:rPr>
          <w:noProof/>
        </w:rPr>
        <w:fldChar w:fldCharType="end"/>
      </w:r>
    </w:p>
    <w:p w14:paraId="6808D247" w14:textId="5EBF9874" w:rsidR="000C3A41" w:rsidRPr="005A3F27" w:rsidRDefault="000C3A41" w:rsidP="000C3A41">
      <w:pPr>
        <w:tabs>
          <w:tab w:val="left" w:pos="2132"/>
        </w:tabs>
        <w:rPr>
          <w:rFonts w:cs="Arial"/>
          <w:color w:val="000000"/>
        </w:rPr>
      </w:pPr>
      <w:r w:rsidRPr="005A3F27">
        <w:rPr>
          <w:b/>
        </w:rPr>
        <w:t>Status:</w:t>
      </w:r>
      <w:r w:rsidRPr="005A3F27">
        <w:tab/>
      </w:r>
      <w:r w:rsidRPr="005A3F27">
        <w:tab/>
        <w:t xml:space="preserve">Version </w:t>
      </w:r>
      <w:r w:rsidR="00901C77">
        <w:t>2</w:t>
      </w:r>
    </w:p>
    <w:p w14:paraId="3577CAC8" w14:textId="6466C135" w:rsidR="000C3A41" w:rsidRPr="005A3F27" w:rsidRDefault="000C3A41" w:rsidP="000C3A41">
      <w:pPr>
        <w:tabs>
          <w:tab w:val="left" w:pos="2132"/>
        </w:tabs>
      </w:pPr>
    </w:p>
    <w:p w14:paraId="550EF80D" w14:textId="3A4EF6D8" w:rsidR="000A17D3" w:rsidRPr="005A3F27" w:rsidRDefault="000A17D3" w:rsidP="000C3A41">
      <w:pPr>
        <w:tabs>
          <w:tab w:val="left" w:pos="2132"/>
        </w:tabs>
      </w:pPr>
    </w:p>
    <w:p w14:paraId="02609A6F" w14:textId="4F113F42" w:rsidR="000A17D3" w:rsidRPr="005A3F27" w:rsidRDefault="000A17D3" w:rsidP="000C3A41">
      <w:pPr>
        <w:tabs>
          <w:tab w:val="left" w:pos="2132"/>
        </w:tabs>
      </w:pPr>
    </w:p>
    <w:p w14:paraId="63B4A3E3" w14:textId="2400354D" w:rsidR="000A17D3" w:rsidRPr="005A3F27" w:rsidRDefault="000A17D3" w:rsidP="000C3A41">
      <w:pPr>
        <w:tabs>
          <w:tab w:val="left" w:pos="2132"/>
        </w:tabs>
      </w:pPr>
    </w:p>
    <w:p w14:paraId="37098BC9" w14:textId="04447C6F" w:rsidR="000A17D3" w:rsidRPr="005A3F27" w:rsidRDefault="000A17D3" w:rsidP="000C3A41">
      <w:pPr>
        <w:tabs>
          <w:tab w:val="left" w:pos="2132"/>
        </w:tabs>
      </w:pPr>
    </w:p>
    <w:p w14:paraId="52665CB4" w14:textId="3BFF4FF0" w:rsidR="000A17D3" w:rsidRPr="005A3F27" w:rsidRDefault="000A17D3" w:rsidP="000C3A41">
      <w:pPr>
        <w:tabs>
          <w:tab w:val="left" w:pos="2132"/>
        </w:tabs>
      </w:pPr>
    </w:p>
    <w:p w14:paraId="4CAA8F44" w14:textId="4646FED1" w:rsidR="000A17D3" w:rsidRPr="005A3F27" w:rsidRDefault="000A17D3" w:rsidP="000C3A41">
      <w:pPr>
        <w:tabs>
          <w:tab w:val="left" w:pos="2132"/>
        </w:tabs>
      </w:pPr>
    </w:p>
    <w:p w14:paraId="2CAA6CF9" w14:textId="5590300D" w:rsidR="000A17D3" w:rsidRPr="005A3F27" w:rsidRDefault="000A17D3" w:rsidP="000C3A41">
      <w:pPr>
        <w:tabs>
          <w:tab w:val="left" w:pos="2132"/>
        </w:tabs>
      </w:pPr>
    </w:p>
    <w:p w14:paraId="17905331" w14:textId="16D44AEE" w:rsidR="000A17D3" w:rsidRPr="005A3F27" w:rsidRDefault="000A17D3" w:rsidP="000C3A41">
      <w:pPr>
        <w:tabs>
          <w:tab w:val="left" w:pos="2132"/>
        </w:tabs>
      </w:pPr>
    </w:p>
    <w:p w14:paraId="694B54EA" w14:textId="0A0587A7" w:rsidR="000A17D3" w:rsidRPr="005A3F27" w:rsidRDefault="000A17D3" w:rsidP="000C3A41">
      <w:pPr>
        <w:tabs>
          <w:tab w:val="left" w:pos="2132"/>
        </w:tabs>
      </w:pPr>
    </w:p>
    <w:p w14:paraId="1131C1B3" w14:textId="3CE0B410" w:rsidR="000A17D3" w:rsidRPr="005A3F27" w:rsidRDefault="000A17D3" w:rsidP="000C3A41">
      <w:pPr>
        <w:tabs>
          <w:tab w:val="left" w:pos="2132"/>
        </w:tabs>
      </w:pPr>
    </w:p>
    <w:p w14:paraId="1368A0F5" w14:textId="2FF393FF" w:rsidR="000A17D3" w:rsidRPr="005A3F27" w:rsidRDefault="000A17D3" w:rsidP="000C3A41">
      <w:pPr>
        <w:tabs>
          <w:tab w:val="left" w:pos="2132"/>
        </w:tabs>
      </w:pPr>
    </w:p>
    <w:p w14:paraId="2E8171EF" w14:textId="36FC9E90" w:rsidR="000A17D3" w:rsidRPr="005A3F27" w:rsidRDefault="000A17D3" w:rsidP="000C3A41">
      <w:pPr>
        <w:tabs>
          <w:tab w:val="left" w:pos="2132"/>
        </w:tabs>
      </w:pPr>
    </w:p>
    <w:p w14:paraId="145BD1C2" w14:textId="218AB1FB" w:rsidR="000A17D3" w:rsidRPr="005A3F27" w:rsidRDefault="000A17D3" w:rsidP="000C3A41">
      <w:pPr>
        <w:tabs>
          <w:tab w:val="left" w:pos="2132"/>
        </w:tabs>
      </w:pPr>
    </w:p>
    <w:p w14:paraId="60DAADFE" w14:textId="77777777" w:rsidR="000A17D3" w:rsidRPr="005A3F27" w:rsidRDefault="000A17D3" w:rsidP="000C3A41">
      <w:pPr>
        <w:tabs>
          <w:tab w:val="left" w:pos="2132"/>
        </w:tabs>
      </w:pPr>
    </w:p>
    <w:p w14:paraId="61471AC3" w14:textId="77777777" w:rsidR="000A17D3" w:rsidRPr="005A3F27" w:rsidRDefault="000A17D3" w:rsidP="000C3A41">
      <w:pPr>
        <w:tabs>
          <w:tab w:val="left" w:pos="2132"/>
        </w:tabs>
      </w:pPr>
    </w:p>
    <w:p w14:paraId="4FAB1E17" w14:textId="77777777" w:rsidR="000C3A41" w:rsidRPr="005A3F27" w:rsidRDefault="000C3A41" w:rsidP="000C3A41">
      <w:pPr>
        <w:tabs>
          <w:tab w:val="left" w:pos="2132"/>
        </w:tabs>
      </w:pPr>
    </w:p>
    <w:p w14:paraId="7D8B3418" w14:textId="78B6F7B8" w:rsidR="000A17D3" w:rsidRPr="005A3F27" w:rsidRDefault="000C3A41" w:rsidP="000A17D3">
      <w:pPr>
        <w:tabs>
          <w:tab w:val="left" w:pos="2132"/>
        </w:tabs>
        <w:spacing w:after="0"/>
        <w:rPr>
          <w:sz w:val="18"/>
          <w:szCs w:val="18"/>
        </w:rPr>
      </w:pPr>
      <w:r w:rsidRPr="005A3F27">
        <w:rPr>
          <w:b/>
          <w:sz w:val="18"/>
          <w:szCs w:val="18"/>
        </w:rPr>
        <w:t>Disclaimer:</w:t>
      </w:r>
      <w:bookmarkStart w:id="2" w:name="_Hlk50036263"/>
      <w:r w:rsidRPr="005A3F27">
        <w:rPr>
          <w:sz w:val="18"/>
          <w:szCs w:val="18"/>
        </w:rPr>
        <w:t xml:space="preserve"> This document is issued for the party which commissioned it and for specific purposes connected with the above-captioned assignment only. It should not be relied upon by any other party or used for any other purpose. We accept no responsibility for the consequences of this document being relied upon by any other party, or being used for any other purpose, or containing any error or omission which is due to an error or omission in data supplied to us by other parties. This document contains confidential information and proprietary intellectual property. It should not be shown to other parties without consent from us and from the party which commissioned it. The views expressed in this report are those of E Co. staff and associates and they are not necessarily those of the commissioning party of anyone else.</w:t>
      </w:r>
      <w:bookmarkStart w:id="3" w:name="_Toc328295143"/>
      <w:bookmarkEnd w:id="2"/>
    </w:p>
    <w:p w14:paraId="1E4A4A87" w14:textId="77777777" w:rsidR="000A17D3" w:rsidRPr="005A3F27" w:rsidRDefault="000A17D3" w:rsidP="000A17D3">
      <w:pPr>
        <w:tabs>
          <w:tab w:val="left" w:pos="2132"/>
        </w:tabs>
        <w:spacing w:after="0"/>
        <w:rPr>
          <w:sz w:val="18"/>
          <w:szCs w:val="18"/>
        </w:rPr>
      </w:pPr>
    </w:p>
    <w:p w14:paraId="0A8E3A73" w14:textId="31D13F70" w:rsidR="000A17D3" w:rsidRPr="005A3F27" w:rsidRDefault="000A17D3" w:rsidP="006F4C4A">
      <w:pPr>
        <w:tabs>
          <w:tab w:val="left" w:pos="2132"/>
        </w:tabs>
        <w:rPr>
          <w:b/>
        </w:rPr>
      </w:pPr>
      <w:r w:rsidRPr="005A3F27">
        <w:rPr>
          <w:b/>
        </w:rPr>
        <w:br w:type="page"/>
      </w:r>
    </w:p>
    <w:p w14:paraId="25560723" w14:textId="4EB5CD91" w:rsidR="006F4C4A" w:rsidRPr="005A3F27" w:rsidRDefault="006F4C4A" w:rsidP="000A17D3">
      <w:pPr>
        <w:pStyle w:val="Heading1"/>
        <w:numPr>
          <w:ilvl w:val="0"/>
          <w:numId w:val="0"/>
        </w:numPr>
      </w:pPr>
      <w:bookmarkStart w:id="4" w:name="_Toc109127493"/>
      <w:r w:rsidRPr="005A3F27">
        <w:lastRenderedPageBreak/>
        <w:t>List of Abbreviations</w:t>
      </w:r>
      <w:bookmarkEnd w:id="4"/>
    </w:p>
    <w:p w14:paraId="2965CD9E" w14:textId="40371884" w:rsidR="00FD1969" w:rsidRPr="005A3F27" w:rsidRDefault="00FD1969" w:rsidP="005234F5">
      <w:pPr>
        <w:tabs>
          <w:tab w:val="left" w:pos="2132"/>
        </w:tabs>
      </w:pPr>
      <w:r w:rsidRPr="005A3F27">
        <w:t>AFD</w:t>
      </w:r>
      <w:r w:rsidRPr="005A3F27">
        <w:tab/>
        <w:t>French Development Agency</w:t>
      </w:r>
    </w:p>
    <w:p w14:paraId="240DC10A" w14:textId="118B55C3" w:rsidR="005234F5" w:rsidRPr="005A3F27" w:rsidRDefault="005234F5" w:rsidP="005234F5">
      <w:pPr>
        <w:tabs>
          <w:tab w:val="left" w:pos="2132"/>
        </w:tabs>
      </w:pPr>
      <w:r w:rsidRPr="005A3F27">
        <w:t>AFE</w:t>
      </w:r>
      <w:r w:rsidRPr="005A3F27">
        <w:tab/>
        <w:t xml:space="preserve">Armenia’s Financial Ecosystem </w:t>
      </w:r>
    </w:p>
    <w:p w14:paraId="705C855B" w14:textId="7F4C0FF9" w:rsidR="006F4C4A" w:rsidRPr="005A3F27" w:rsidRDefault="006F4C4A" w:rsidP="006F4C4A">
      <w:pPr>
        <w:tabs>
          <w:tab w:val="left" w:pos="2132"/>
        </w:tabs>
      </w:pPr>
      <w:r w:rsidRPr="005A3F27">
        <w:t>BCIC</w:t>
      </w:r>
      <w:r w:rsidRPr="005A3F27">
        <w:tab/>
        <w:t>Board Credit and Investment Committee</w:t>
      </w:r>
    </w:p>
    <w:p w14:paraId="5FD218F8" w14:textId="386122CA" w:rsidR="006C1918" w:rsidRPr="005A3F27" w:rsidRDefault="006C1918" w:rsidP="001A5B49">
      <w:pPr>
        <w:tabs>
          <w:tab w:val="left" w:pos="2607"/>
        </w:tabs>
      </w:pPr>
      <w:r w:rsidRPr="005A3F27">
        <w:t>CBA</w:t>
      </w:r>
      <w:r w:rsidR="005234F5" w:rsidRPr="005A3F27">
        <w:t xml:space="preserve">                          Central Bank of Armenia</w:t>
      </w:r>
    </w:p>
    <w:p w14:paraId="2874E461" w14:textId="77777777" w:rsidR="006F4C4A" w:rsidRPr="005A3F27" w:rsidRDefault="006F4C4A" w:rsidP="006F4C4A">
      <w:pPr>
        <w:tabs>
          <w:tab w:val="left" w:pos="2132"/>
        </w:tabs>
      </w:pPr>
      <w:r w:rsidRPr="005A3F27">
        <w:t>CBI</w:t>
      </w:r>
      <w:r w:rsidRPr="005A3F27">
        <w:tab/>
        <w:t>Climate Bonds Initiative</w:t>
      </w:r>
    </w:p>
    <w:p w14:paraId="276A1B81" w14:textId="77777777" w:rsidR="006F4C4A" w:rsidRPr="005A3F27" w:rsidRDefault="006F4C4A" w:rsidP="006F4C4A">
      <w:pPr>
        <w:tabs>
          <w:tab w:val="left" w:pos="2132"/>
        </w:tabs>
      </w:pPr>
      <w:r w:rsidRPr="005A3F27">
        <w:t>CFF</w:t>
      </w:r>
      <w:r w:rsidRPr="005A3F27">
        <w:tab/>
        <w:t>Climate Finance Facility</w:t>
      </w:r>
    </w:p>
    <w:p w14:paraId="2CADFB88" w14:textId="51F4DC86" w:rsidR="006F4C4A" w:rsidRPr="005A3F27" w:rsidRDefault="006F4C4A" w:rsidP="006F4C4A">
      <w:pPr>
        <w:tabs>
          <w:tab w:val="left" w:pos="2132"/>
        </w:tabs>
      </w:pPr>
      <w:r w:rsidRPr="005A3F27">
        <w:t>CO2</w:t>
      </w:r>
      <w:r w:rsidRPr="005A3F27">
        <w:tab/>
        <w:t>Carbon Dioxide</w:t>
      </w:r>
    </w:p>
    <w:p w14:paraId="39BCD413" w14:textId="025C2DA2" w:rsidR="00FD1969" w:rsidRPr="005A3F27" w:rsidRDefault="00FD1969" w:rsidP="006F4C4A">
      <w:pPr>
        <w:tabs>
          <w:tab w:val="left" w:pos="2132"/>
        </w:tabs>
      </w:pPr>
      <w:r w:rsidRPr="005A3F27">
        <w:t>DFI</w:t>
      </w:r>
      <w:r w:rsidRPr="005A3F27">
        <w:tab/>
        <w:t>Development Financial Institution</w:t>
      </w:r>
    </w:p>
    <w:p w14:paraId="4600E323" w14:textId="7126A537" w:rsidR="006F4C4A" w:rsidRPr="005A3F27" w:rsidRDefault="006F4C4A" w:rsidP="006F4C4A">
      <w:pPr>
        <w:tabs>
          <w:tab w:val="left" w:pos="2132"/>
        </w:tabs>
      </w:pPr>
      <w:r w:rsidRPr="005A3F27">
        <w:t>DRRF</w:t>
      </w:r>
      <w:r w:rsidRPr="005A3F27">
        <w:tab/>
        <w:t xml:space="preserve">Development Results Reporting Framework </w:t>
      </w:r>
    </w:p>
    <w:p w14:paraId="729D10E9" w14:textId="1A693ABA" w:rsidR="00FD1969" w:rsidRPr="005A3F27" w:rsidRDefault="00FD1969" w:rsidP="006F4C4A">
      <w:pPr>
        <w:tabs>
          <w:tab w:val="left" w:pos="2132"/>
        </w:tabs>
      </w:pPr>
      <w:r w:rsidRPr="005A3F27">
        <w:t>EBRD</w:t>
      </w:r>
      <w:r w:rsidRPr="005A3F27">
        <w:tab/>
        <w:t>European Bank for Reconstruction and Development</w:t>
      </w:r>
    </w:p>
    <w:p w14:paraId="6507B1DB" w14:textId="6CBD6836" w:rsidR="006F4C4A" w:rsidRPr="009D2A4D" w:rsidRDefault="006F4C4A" w:rsidP="006F4C4A">
      <w:pPr>
        <w:tabs>
          <w:tab w:val="left" w:pos="2132"/>
        </w:tabs>
        <w:rPr>
          <w:lang w:val="nl-BE"/>
        </w:rPr>
      </w:pPr>
      <w:r w:rsidRPr="009D2A4D">
        <w:rPr>
          <w:lang w:val="nl-BE"/>
        </w:rPr>
        <w:t>EGIP</w:t>
      </w:r>
      <w:r w:rsidRPr="009D2A4D">
        <w:rPr>
          <w:lang w:val="nl-BE"/>
        </w:rPr>
        <w:tab/>
        <w:t xml:space="preserve">Embedded Generation Investment Programme </w:t>
      </w:r>
    </w:p>
    <w:p w14:paraId="3953CF7C" w14:textId="5C3052D4" w:rsidR="004152B5" w:rsidRPr="009D2A4D" w:rsidRDefault="004152B5" w:rsidP="006F4C4A">
      <w:pPr>
        <w:tabs>
          <w:tab w:val="left" w:pos="2132"/>
        </w:tabs>
        <w:rPr>
          <w:lang w:val="nl-BE"/>
        </w:rPr>
      </w:pPr>
      <w:r w:rsidRPr="009D2A4D">
        <w:rPr>
          <w:lang w:val="nl-BE"/>
        </w:rPr>
        <w:t>FMO</w:t>
      </w:r>
      <w:r w:rsidRPr="009D2A4D">
        <w:rPr>
          <w:lang w:val="nl-BE"/>
        </w:rPr>
        <w:tab/>
        <w:t>Nederlandse Financieringsmaatschappij voor Ontwikkelingslanden</w:t>
      </w:r>
    </w:p>
    <w:p w14:paraId="299757D1" w14:textId="4BA3C69F" w:rsidR="006F4C4A" w:rsidRPr="005A3F27" w:rsidRDefault="006F4C4A" w:rsidP="006F4C4A">
      <w:pPr>
        <w:tabs>
          <w:tab w:val="left" w:pos="2132"/>
        </w:tabs>
      </w:pPr>
      <w:r w:rsidRPr="005A3F27">
        <w:t>GEF</w:t>
      </w:r>
      <w:r w:rsidRPr="005A3F27">
        <w:tab/>
        <w:t>Global Environment Facility</w:t>
      </w:r>
    </w:p>
    <w:p w14:paraId="2E10A460" w14:textId="77777777" w:rsidR="006F4C4A" w:rsidRPr="005A3F27" w:rsidRDefault="006F4C4A" w:rsidP="006F4C4A">
      <w:pPr>
        <w:tabs>
          <w:tab w:val="left" w:pos="2132"/>
        </w:tabs>
      </w:pPr>
      <w:r w:rsidRPr="005A3F27">
        <w:t>GCF</w:t>
      </w:r>
      <w:r w:rsidRPr="005A3F27">
        <w:tab/>
        <w:t>Green Climate Fund</w:t>
      </w:r>
    </w:p>
    <w:p w14:paraId="4F7EBA3C" w14:textId="06B755E3" w:rsidR="006F4C4A" w:rsidRPr="009D2A4D" w:rsidRDefault="006F4C4A" w:rsidP="006F4C4A">
      <w:pPr>
        <w:tabs>
          <w:tab w:val="left" w:pos="2132"/>
        </w:tabs>
        <w:rPr>
          <w:lang w:val="nl-BE"/>
        </w:rPr>
      </w:pPr>
      <w:r w:rsidRPr="009D2A4D">
        <w:rPr>
          <w:lang w:val="nl-BE"/>
        </w:rPr>
        <w:t>GHG</w:t>
      </w:r>
      <w:r w:rsidRPr="009D2A4D">
        <w:rPr>
          <w:lang w:val="nl-BE"/>
        </w:rPr>
        <w:tab/>
        <w:t>Greenhouse Gas</w:t>
      </w:r>
    </w:p>
    <w:p w14:paraId="42669379" w14:textId="4C274F5C" w:rsidR="004152B5" w:rsidRPr="009D2A4D" w:rsidRDefault="004152B5" w:rsidP="006F4C4A">
      <w:pPr>
        <w:tabs>
          <w:tab w:val="left" w:pos="2132"/>
        </w:tabs>
        <w:rPr>
          <w:lang w:val="nl-BE"/>
        </w:rPr>
      </w:pPr>
      <w:r w:rsidRPr="009D2A4D">
        <w:rPr>
          <w:lang w:val="nl-BE"/>
        </w:rPr>
        <w:t>GIZ</w:t>
      </w:r>
      <w:r w:rsidRPr="009D2A4D">
        <w:rPr>
          <w:lang w:val="nl-BE"/>
        </w:rPr>
        <w:tab/>
        <w:t>Deutsche Gesellschaft für Internationale Zusammenarbeit</w:t>
      </w:r>
    </w:p>
    <w:p w14:paraId="4BBB74F3" w14:textId="77777777" w:rsidR="006F4C4A" w:rsidRPr="005A3F27" w:rsidRDefault="006F4C4A" w:rsidP="006F4C4A">
      <w:pPr>
        <w:tabs>
          <w:tab w:val="left" w:pos="2132"/>
        </w:tabs>
      </w:pPr>
      <w:r w:rsidRPr="005A3F27">
        <w:t>IC</w:t>
      </w:r>
      <w:r w:rsidRPr="005A3F27">
        <w:tab/>
        <w:t>Investment Committee</w:t>
      </w:r>
    </w:p>
    <w:p w14:paraId="2227A96A" w14:textId="77777777" w:rsidR="006F4C4A" w:rsidRPr="005A3F27" w:rsidRDefault="006F4C4A" w:rsidP="006F4C4A">
      <w:pPr>
        <w:tabs>
          <w:tab w:val="left" w:pos="2132"/>
        </w:tabs>
      </w:pPr>
      <w:r w:rsidRPr="005A3F27">
        <w:t>ICMA</w:t>
      </w:r>
      <w:r w:rsidRPr="005A3F27">
        <w:tab/>
        <w:t xml:space="preserve">International Capital Market Association </w:t>
      </w:r>
    </w:p>
    <w:p w14:paraId="7182705B" w14:textId="1597A99A" w:rsidR="006F4C4A" w:rsidRPr="005A3F27" w:rsidRDefault="006F4C4A" w:rsidP="006F4C4A">
      <w:pPr>
        <w:tabs>
          <w:tab w:val="left" w:pos="2132"/>
        </w:tabs>
      </w:pPr>
      <w:r w:rsidRPr="005A3F27">
        <w:t>IDFC</w:t>
      </w:r>
      <w:r w:rsidRPr="005A3F27">
        <w:tab/>
        <w:t>International Development Finance Club</w:t>
      </w:r>
    </w:p>
    <w:p w14:paraId="765225E6" w14:textId="5CF1E9F4" w:rsidR="004152B5" w:rsidRPr="005A3F27" w:rsidRDefault="004152B5" w:rsidP="006F4C4A">
      <w:pPr>
        <w:tabs>
          <w:tab w:val="left" w:pos="2132"/>
        </w:tabs>
      </w:pPr>
      <w:r w:rsidRPr="005A3F27">
        <w:t>IFC</w:t>
      </w:r>
      <w:r w:rsidRPr="005A3F27">
        <w:tab/>
        <w:t>International Finance Corporation</w:t>
      </w:r>
    </w:p>
    <w:p w14:paraId="341D4A58" w14:textId="228D38F5" w:rsidR="006F4C4A" w:rsidRPr="005A3F27" w:rsidRDefault="006F4C4A" w:rsidP="006F4C4A">
      <w:pPr>
        <w:tabs>
          <w:tab w:val="left" w:pos="2132"/>
        </w:tabs>
      </w:pPr>
      <w:r w:rsidRPr="005A3F27">
        <w:t>IRP</w:t>
      </w:r>
      <w:r w:rsidRPr="005A3F27">
        <w:tab/>
        <w:t>Integrated Resource Plan</w:t>
      </w:r>
    </w:p>
    <w:p w14:paraId="16D23AA9" w14:textId="7BB20C31" w:rsidR="005234F5" w:rsidRPr="005A3F27" w:rsidRDefault="004152B5" w:rsidP="005234F5">
      <w:pPr>
        <w:tabs>
          <w:tab w:val="left" w:pos="2132"/>
        </w:tabs>
      </w:pPr>
      <w:r w:rsidRPr="005A3F27">
        <w:t>KfW</w:t>
      </w:r>
      <w:r w:rsidRPr="005A3F27">
        <w:tab/>
        <w:t>Kreditanstalt für Wiederaufbau</w:t>
      </w:r>
    </w:p>
    <w:p w14:paraId="62B9F266" w14:textId="5A85E969" w:rsidR="006F4C4A" w:rsidRPr="005A3F27" w:rsidRDefault="006F4C4A" w:rsidP="006F4C4A">
      <w:pPr>
        <w:tabs>
          <w:tab w:val="left" w:pos="2132"/>
        </w:tabs>
      </w:pPr>
      <w:r w:rsidRPr="005A3F27">
        <w:t>NDC</w:t>
      </w:r>
      <w:r w:rsidRPr="005A3F27">
        <w:tab/>
        <w:t xml:space="preserve">Nationally Determined </w:t>
      </w:r>
      <w:r w:rsidR="002043E8" w:rsidRPr="005A3F27">
        <w:t xml:space="preserve">Contribution </w:t>
      </w:r>
    </w:p>
    <w:p w14:paraId="12952A7E" w14:textId="77777777" w:rsidR="006F4C4A" w:rsidRPr="005A3F27" w:rsidRDefault="006F4C4A" w:rsidP="006F4C4A">
      <w:pPr>
        <w:tabs>
          <w:tab w:val="left" w:pos="2132"/>
        </w:tabs>
      </w:pPr>
      <w:r w:rsidRPr="005A3F27">
        <w:t>NDP</w:t>
      </w:r>
      <w:r w:rsidRPr="005A3F27">
        <w:tab/>
        <w:t>National Development Plan</w:t>
      </w:r>
    </w:p>
    <w:p w14:paraId="7F8BEBC7" w14:textId="528031A9" w:rsidR="006F4C4A" w:rsidRPr="005A3F27" w:rsidRDefault="006F4C4A" w:rsidP="006F4C4A">
      <w:pPr>
        <w:tabs>
          <w:tab w:val="left" w:pos="2132"/>
        </w:tabs>
      </w:pPr>
      <w:r w:rsidRPr="005A3F27">
        <w:t>PPA</w:t>
      </w:r>
      <w:r w:rsidRPr="005A3F27">
        <w:tab/>
        <w:t>Power Purchase Agreement</w:t>
      </w:r>
    </w:p>
    <w:p w14:paraId="1AFE028E" w14:textId="6AFFF88F" w:rsidR="00E072D0" w:rsidRPr="009D2A4D" w:rsidRDefault="00E072D0" w:rsidP="006F4C4A">
      <w:pPr>
        <w:tabs>
          <w:tab w:val="left" w:pos="2132"/>
        </w:tabs>
        <w:rPr>
          <w:lang w:val="fr-BE"/>
        </w:rPr>
      </w:pPr>
      <w:r w:rsidRPr="009D2A4D">
        <w:rPr>
          <w:lang w:val="fr-BE"/>
        </w:rPr>
        <w:t>PROPARCO</w:t>
      </w:r>
      <w:r w:rsidRPr="009D2A4D">
        <w:rPr>
          <w:lang w:val="fr-BE"/>
        </w:rPr>
        <w:tab/>
        <w:t>Promotion et Participation pour la Coopération économique</w:t>
      </w:r>
    </w:p>
    <w:p w14:paraId="35E1207D" w14:textId="7F2CDE89" w:rsidR="006F4C4A" w:rsidRPr="005A3F27" w:rsidRDefault="006F4C4A" w:rsidP="006F4C4A">
      <w:pPr>
        <w:tabs>
          <w:tab w:val="left" w:pos="2132"/>
        </w:tabs>
      </w:pPr>
      <w:r w:rsidRPr="005A3F27">
        <w:t>SDGs</w:t>
      </w:r>
      <w:r w:rsidRPr="005A3F27">
        <w:tab/>
        <w:t>Sustainable Development Goals</w:t>
      </w:r>
    </w:p>
    <w:p w14:paraId="7762208E" w14:textId="62B84763" w:rsidR="005234F5" w:rsidRPr="005A3F27" w:rsidRDefault="005234F5" w:rsidP="005234F5">
      <w:pPr>
        <w:tabs>
          <w:tab w:val="left" w:pos="2132"/>
        </w:tabs>
      </w:pPr>
      <w:r w:rsidRPr="005A3F27">
        <w:t>SPO</w:t>
      </w:r>
      <w:r w:rsidRPr="005A3F27">
        <w:tab/>
        <w:t>Second Party Opinion</w:t>
      </w:r>
    </w:p>
    <w:p w14:paraId="18A8242B" w14:textId="77777777" w:rsidR="006F4C4A" w:rsidRPr="005A3F27" w:rsidRDefault="006F4C4A" w:rsidP="006F4C4A">
      <w:pPr>
        <w:tabs>
          <w:tab w:val="left" w:pos="2132"/>
        </w:tabs>
      </w:pPr>
      <w:r w:rsidRPr="005A3F27">
        <w:t>TCFD</w:t>
      </w:r>
      <w:r w:rsidRPr="005A3F27">
        <w:tab/>
        <w:t>Task Force for Climate related Financial Disclosures</w:t>
      </w:r>
    </w:p>
    <w:p w14:paraId="6228EED5" w14:textId="622ACF2C" w:rsidR="00F80B15" w:rsidRPr="005A3F27" w:rsidRDefault="00F80B15" w:rsidP="00F80B15">
      <w:pPr>
        <w:tabs>
          <w:tab w:val="left" w:pos="2132"/>
        </w:tabs>
      </w:pPr>
    </w:p>
    <w:p w14:paraId="1C90D73E" w14:textId="6C73163E" w:rsidR="00496209" w:rsidRPr="005A3F27" w:rsidRDefault="00496209" w:rsidP="0052045A">
      <w:pPr>
        <w:pStyle w:val="ExTOCHeading1"/>
        <w:pBdr>
          <w:bottom w:val="single" w:sz="4" w:space="1" w:color="929292" w:themeColor="text1" w:themeTint="A6"/>
        </w:pBdr>
        <w:spacing w:after="120"/>
        <w:rPr>
          <w:lang w:val="en-GB"/>
        </w:rPr>
      </w:pPr>
      <w:r w:rsidRPr="005A3F27">
        <w:rPr>
          <w:lang w:val="en-GB"/>
        </w:rPr>
        <w:lastRenderedPageBreak/>
        <w:t>Contents</w:t>
      </w:r>
      <w:bookmarkEnd w:id="3"/>
    </w:p>
    <w:p w14:paraId="274CD0E5" w14:textId="26CD77CB" w:rsidR="00D84E72" w:rsidRDefault="00C51887">
      <w:pPr>
        <w:pStyle w:val="TOC1"/>
        <w:rPr>
          <w:rFonts w:asciiTheme="minorHAnsi" w:eastAsiaTheme="minorEastAsia" w:hAnsiTheme="minorHAnsi"/>
          <w:color w:val="auto"/>
          <w:szCs w:val="22"/>
          <w:u w:val="none"/>
          <w:lang w:eastAsia="en-GB"/>
        </w:rPr>
      </w:pPr>
      <w:r w:rsidRPr="005A3F27">
        <w:rPr>
          <w:bCs/>
          <w:color w:val="4B7083"/>
        </w:rPr>
        <w:fldChar w:fldCharType="begin"/>
      </w:r>
      <w:r w:rsidRPr="005A3F27">
        <w:rPr>
          <w:bCs/>
          <w:color w:val="4B7083"/>
        </w:rPr>
        <w:instrText xml:space="preserve"> TOC \o "1-3" \h \z </w:instrText>
      </w:r>
      <w:r w:rsidRPr="005A3F27">
        <w:rPr>
          <w:bCs/>
          <w:color w:val="4B7083"/>
        </w:rPr>
        <w:fldChar w:fldCharType="separate"/>
      </w:r>
      <w:hyperlink w:anchor="_Toc109127493" w:history="1">
        <w:r w:rsidR="00D84E72" w:rsidRPr="00AD5063">
          <w:rPr>
            <w:rStyle w:val="Hyperlink"/>
          </w:rPr>
          <w:t>List of Abbreviations</w:t>
        </w:r>
        <w:r w:rsidR="00D84E72">
          <w:rPr>
            <w:webHidden/>
          </w:rPr>
          <w:tab/>
        </w:r>
        <w:r w:rsidR="00D84E72">
          <w:rPr>
            <w:webHidden/>
          </w:rPr>
          <w:fldChar w:fldCharType="begin"/>
        </w:r>
        <w:r w:rsidR="00D84E72">
          <w:rPr>
            <w:webHidden/>
          </w:rPr>
          <w:instrText xml:space="preserve"> PAGEREF _Toc109127493 \h </w:instrText>
        </w:r>
        <w:r w:rsidR="00D84E72">
          <w:rPr>
            <w:webHidden/>
          </w:rPr>
        </w:r>
        <w:r w:rsidR="00D84E72">
          <w:rPr>
            <w:webHidden/>
          </w:rPr>
          <w:fldChar w:fldCharType="separate"/>
        </w:r>
        <w:r w:rsidR="00D84E72">
          <w:rPr>
            <w:webHidden/>
          </w:rPr>
          <w:t>3</w:t>
        </w:r>
        <w:r w:rsidR="00D84E72">
          <w:rPr>
            <w:webHidden/>
          </w:rPr>
          <w:fldChar w:fldCharType="end"/>
        </w:r>
      </w:hyperlink>
    </w:p>
    <w:p w14:paraId="48F6A2FB" w14:textId="54681717" w:rsidR="00D84E72" w:rsidRDefault="00000000">
      <w:pPr>
        <w:pStyle w:val="TOC1"/>
        <w:rPr>
          <w:rFonts w:asciiTheme="minorHAnsi" w:eastAsiaTheme="minorEastAsia" w:hAnsiTheme="minorHAnsi"/>
          <w:color w:val="auto"/>
          <w:szCs w:val="22"/>
          <w:u w:val="none"/>
          <w:lang w:eastAsia="en-GB"/>
        </w:rPr>
      </w:pPr>
      <w:hyperlink w:anchor="_Toc109127494" w:history="1">
        <w:r w:rsidR="00D84E72" w:rsidRPr="00AD5063">
          <w:rPr>
            <w:rStyle w:val="Hyperlink"/>
          </w:rPr>
          <w:t>1. Introduction</w:t>
        </w:r>
        <w:r w:rsidR="00D84E72">
          <w:rPr>
            <w:webHidden/>
          </w:rPr>
          <w:tab/>
        </w:r>
        <w:r w:rsidR="00D84E72">
          <w:rPr>
            <w:webHidden/>
          </w:rPr>
          <w:fldChar w:fldCharType="begin"/>
        </w:r>
        <w:r w:rsidR="00D84E72">
          <w:rPr>
            <w:webHidden/>
          </w:rPr>
          <w:instrText xml:space="preserve"> PAGEREF _Toc109127494 \h </w:instrText>
        </w:r>
        <w:r w:rsidR="00D84E72">
          <w:rPr>
            <w:webHidden/>
          </w:rPr>
        </w:r>
        <w:r w:rsidR="00D84E72">
          <w:rPr>
            <w:webHidden/>
          </w:rPr>
          <w:fldChar w:fldCharType="separate"/>
        </w:r>
        <w:r w:rsidR="00D84E72">
          <w:rPr>
            <w:webHidden/>
          </w:rPr>
          <w:t>6</w:t>
        </w:r>
        <w:r w:rsidR="00D84E72">
          <w:rPr>
            <w:webHidden/>
          </w:rPr>
          <w:fldChar w:fldCharType="end"/>
        </w:r>
      </w:hyperlink>
    </w:p>
    <w:p w14:paraId="38D74ABB" w14:textId="7D603D49" w:rsidR="00D84E72" w:rsidRDefault="00000000">
      <w:pPr>
        <w:pStyle w:val="TOC2"/>
        <w:rPr>
          <w:rFonts w:asciiTheme="minorHAnsi" w:eastAsiaTheme="minorEastAsia" w:hAnsiTheme="minorHAnsi"/>
          <w:color w:val="auto"/>
          <w:szCs w:val="22"/>
          <w:lang w:eastAsia="en-GB"/>
        </w:rPr>
      </w:pPr>
      <w:hyperlink w:anchor="_Toc109127495" w:history="1">
        <w:r w:rsidR="00D84E72" w:rsidRPr="00AD5063">
          <w:rPr>
            <w:rStyle w:val="Hyperlink"/>
          </w:rPr>
          <w:t>1.1. This Green Bond Framework Document</w:t>
        </w:r>
        <w:r w:rsidR="00D84E72">
          <w:rPr>
            <w:webHidden/>
          </w:rPr>
          <w:tab/>
        </w:r>
        <w:r w:rsidR="00D84E72">
          <w:rPr>
            <w:webHidden/>
          </w:rPr>
          <w:fldChar w:fldCharType="begin"/>
        </w:r>
        <w:r w:rsidR="00D84E72">
          <w:rPr>
            <w:webHidden/>
          </w:rPr>
          <w:instrText xml:space="preserve"> PAGEREF _Toc109127495 \h </w:instrText>
        </w:r>
        <w:r w:rsidR="00D84E72">
          <w:rPr>
            <w:webHidden/>
          </w:rPr>
        </w:r>
        <w:r w:rsidR="00D84E72">
          <w:rPr>
            <w:webHidden/>
          </w:rPr>
          <w:fldChar w:fldCharType="separate"/>
        </w:r>
        <w:r w:rsidR="00D84E72">
          <w:rPr>
            <w:webHidden/>
          </w:rPr>
          <w:t>6</w:t>
        </w:r>
        <w:r w:rsidR="00D84E72">
          <w:rPr>
            <w:webHidden/>
          </w:rPr>
          <w:fldChar w:fldCharType="end"/>
        </w:r>
      </w:hyperlink>
    </w:p>
    <w:p w14:paraId="365AAFB7" w14:textId="3B795568" w:rsidR="00D84E72" w:rsidRDefault="00000000">
      <w:pPr>
        <w:pStyle w:val="TOC2"/>
        <w:rPr>
          <w:rFonts w:asciiTheme="minorHAnsi" w:eastAsiaTheme="minorEastAsia" w:hAnsiTheme="minorHAnsi"/>
          <w:color w:val="auto"/>
          <w:szCs w:val="22"/>
          <w:lang w:eastAsia="en-GB"/>
        </w:rPr>
      </w:pPr>
      <w:hyperlink w:anchor="_Toc109127496" w:history="1">
        <w:r w:rsidR="00D84E72" w:rsidRPr="00AD5063">
          <w:rPr>
            <w:rStyle w:val="Hyperlink"/>
          </w:rPr>
          <w:t>1.2. ARMSWISSBANK</w:t>
        </w:r>
        <w:r w:rsidR="00D84E72">
          <w:rPr>
            <w:webHidden/>
          </w:rPr>
          <w:tab/>
        </w:r>
        <w:r w:rsidR="00D84E72">
          <w:rPr>
            <w:webHidden/>
          </w:rPr>
          <w:fldChar w:fldCharType="begin"/>
        </w:r>
        <w:r w:rsidR="00D84E72">
          <w:rPr>
            <w:webHidden/>
          </w:rPr>
          <w:instrText xml:space="preserve"> PAGEREF _Toc109127496 \h </w:instrText>
        </w:r>
        <w:r w:rsidR="00D84E72">
          <w:rPr>
            <w:webHidden/>
          </w:rPr>
        </w:r>
        <w:r w:rsidR="00D84E72">
          <w:rPr>
            <w:webHidden/>
          </w:rPr>
          <w:fldChar w:fldCharType="separate"/>
        </w:r>
        <w:r w:rsidR="00D84E72">
          <w:rPr>
            <w:webHidden/>
          </w:rPr>
          <w:t>6</w:t>
        </w:r>
        <w:r w:rsidR="00D84E72">
          <w:rPr>
            <w:webHidden/>
          </w:rPr>
          <w:fldChar w:fldCharType="end"/>
        </w:r>
      </w:hyperlink>
    </w:p>
    <w:p w14:paraId="5013D9C5" w14:textId="50F0F3E0" w:rsidR="00D84E72" w:rsidRDefault="00000000">
      <w:pPr>
        <w:pStyle w:val="TOC2"/>
        <w:rPr>
          <w:rFonts w:asciiTheme="minorHAnsi" w:eastAsiaTheme="minorEastAsia" w:hAnsiTheme="minorHAnsi"/>
          <w:color w:val="auto"/>
          <w:szCs w:val="22"/>
          <w:lang w:eastAsia="en-GB"/>
        </w:rPr>
      </w:pPr>
      <w:hyperlink w:anchor="_Toc109127497" w:history="1">
        <w:r w:rsidR="00D84E72" w:rsidRPr="00AD5063">
          <w:rPr>
            <w:rStyle w:val="Hyperlink"/>
          </w:rPr>
          <w:t>1.3. ARMSWISSBANK Impact and Sustainability Strategy and Climate Change Policy Framework</w:t>
        </w:r>
        <w:r w:rsidR="00D84E72">
          <w:rPr>
            <w:webHidden/>
          </w:rPr>
          <w:tab/>
        </w:r>
        <w:r w:rsidR="00D84E72">
          <w:rPr>
            <w:webHidden/>
          </w:rPr>
          <w:fldChar w:fldCharType="begin"/>
        </w:r>
        <w:r w:rsidR="00D84E72">
          <w:rPr>
            <w:webHidden/>
          </w:rPr>
          <w:instrText xml:space="preserve"> PAGEREF _Toc109127497 \h </w:instrText>
        </w:r>
        <w:r w:rsidR="00D84E72">
          <w:rPr>
            <w:webHidden/>
          </w:rPr>
        </w:r>
        <w:r w:rsidR="00D84E72">
          <w:rPr>
            <w:webHidden/>
          </w:rPr>
          <w:fldChar w:fldCharType="separate"/>
        </w:r>
        <w:r w:rsidR="00D84E72">
          <w:rPr>
            <w:webHidden/>
          </w:rPr>
          <w:t>6</w:t>
        </w:r>
        <w:r w:rsidR="00D84E72">
          <w:rPr>
            <w:webHidden/>
          </w:rPr>
          <w:fldChar w:fldCharType="end"/>
        </w:r>
      </w:hyperlink>
    </w:p>
    <w:p w14:paraId="24962FB0" w14:textId="6DFD71F3" w:rsidR="00D84E72" w:rsidRDefault="00000000">
      <w:pPr>
        <w:pStyle w:val="TOC1"/>
        <w:rPr>
          <w:rFonts w:asciiTheme="minorHAnsi" w:eastAsiaTheme="minorEastAsia" w:hAnsiTheme="minorHAnsi"/>
          <w:color w:val="auto"/>
          <w:szCs w:val="22"/>
          <w:u w:val="none"/>
          <w:lang w:eastAsia="en-GB"/>
        </w:rPr>
      </w:pPr>
      <w:hyperlink w:anchor="_Toc109127498" w:history="1">
        <w:r w:rsidR="00D84E72" w:rsidRPr="00AD5063">
          <w:rPr>
            <w:rStyle w:val="Hyperlink"/>
          </w:rPr>
          <w:t>2. Green Bond Framework - ARMSWISSBANK</w:t>
        </w:r>
        <w:r w:rsidR="00D84E72">
          <w:rPr>
            <w:webHidden/>
          </w:rPr>
          <w:tab/>
        </w:r>
        <w:r w:rsidR="00D84E72">
          <w:rPr>
            <w:webHidden/>
          </w:rPr>
          <w:fldChar w:fldCharType="begin"/>
        </w:r>
        <w:r w:rsidR="00D84E72">
          <w:rPr>
            <w:webHidden/>
          </w:rPr>
          <w:instrText xml:space="preserve"> PAGEREF _Toc109127498 \h </w:instrText>
        </w:r>
        <w:r w:rsidR="00D84E72">
          <w:rPr>
            <w:webHidden/>
          </w:rPr>
        </w:r>
        <w:r w:rsidR="00D84E72">
          <w:rPr>
            <w:webHidden/>
          </w:rPr>
          <w:fldChar w:fldCharType="separate"/>
        </w:r>
        <w:r w:rsidR="00D84E72">
          <w:rPr>
            <w:webHidden/>
          </w:rPr>
          <w:t>8</w:t>
        </w:r>
        <w:r w:rsidR="00D84E72">
          <w:rPr>
            <w:webHidden/>
          </w:rPr>
          <w:fldChar w:fldCharType="end"/>
        </w:r>
      </w:hyperlink>
    </w:p>
    <w:p w14:paraId="30B0339A" w14:textId="302F7DF3" w:rsidR="00D84E72" w:rsidRDefault="00000000">
      <w:pPr>
        <w:pStyle w:val="TOC2"/>
        <w:rPr>
          <w:rFonts w:asciiTheme="minorHAnsi" w:eastAsiaTheme="minorEastAsia" w:hAnsiTheme="minorHAnsi"/>
          <w:color w:val="auto"/>
          <w:szCs w:val="22"/>
          <w:lang w:eastAsia="en-GB"/>
        </w:rPr>
      </w:pPr>
      <w:hyperlink w:anchor="_Toc109127499" w:history="1">
        <w:r w:rsidR="00D84E72" w:rsidRPr="00AD5063">
          <w:rPr>
            <w:rStyle w:val="Hyperlink"/>
          </w:rPr>
          <w:t>2.1. Green Bond Framework</w:t>
        </w:r>
        <w:r w:rsidR="00D84E72">
          <w:rPr>
            <w:webHidden/>
          </w:rPr>
          <w:tab/>
        </w:r>
        <w:r w:rsidR="00D84E72">
          <w:rPr>
            <w:webHidden/>
          </w:rPr>
          <w:fldChar w:fldCharType="begin"/>
        </w:r>
        <w:r w:rsidR="00D84E72">
          <w:rPr>
            <w:webHidden/>
          </w:rPr>
          <w:instrText xml:space="preserve"> PAGEREF _Toc109127499 \h </w:instrText>
        </w:r>
        <w:r w:rsidR="00D84E72">
          <w:rPr>
            <w:webHidden/>
          </w:rPr>
        </w:r>
        <w:r w:rsidR="00D84E72">
          <w:rPr>
            <w:webHidden/>
          </w:rPr>
          <w:fldChar w:fldCharType="separate"/>
        </w:r>
        <w:r w:rsidR="00D84E72">
          <w:rPr>
            <w:webHidden/>
          </w:rPr>
          <w:t>8</w:t>
        </w:r>
        <w:r w:rsidR="00D84E72">
          <w:rPr>
            <w:webHidden/>
          </w:rPr>
          <w:fldChar w:fldCharType="end"/>
        </w:r>
      </w:hyperlink>
    </w:p>
    <w:p w14:paraId="72B86B6A" w14:textId="292D501A" w:rsidR="00D84E72" w:rsidRDefault="00000000">
      <w:pPr>
        <w:pStyle w:val="TOC1"/>
        <w:rPr>
          <w:rFonts w:asciiTheme="minorHAnsi" w:eastAsiaTheme="minorEastAsia" w:hAnsiTheme="minorHAnsi"/>
          <w:color w:val="auto"/>
          <w:szCs w:val="22"/>
          <w:u w:val="none"/>
          <w:lang w:eastAsia="en-GB"/>
        </w:rPr>
      </w:pPr>
      <w:hyperlink w:anchor="_Toc109127500" w:history="1">
        <w:r w:rsidR="00D84E72" w:rsidRPr="00AD5063">
          <w:rPr>
            <w:rStyle w:val="Hyperlink"/>
          </w:rPr>
          <w:t>3. Use of Proceeds</w:t>
        </w:r>
        <w:r w:rsidR="00D84E72">
          <w:rPr>
            <w:webHidden/>
          </w:rPr>
          <w:tab/>
        </w:r>
        <w:r w:rsidR="00D84E72">
          <w:rPr>
            <w:webHidden/>
          </w:rPr>
          <w:fldChar w:fldCharType="begin"/>
        </w:r>
        <w:r w:rsidR="00D84E72">
          <w:rPr>
            <w:webHidden/>
          </w:rPr>
          <w:instrText xml:space="preserve"> PAGEREF _Toc109127500 \h </w:instrText>
        </w:r>
        <w:r w:rsidR="00D84E72">
          <w:rPr>
            <w:webHidden/>
          </w:rPr>
        </w:r>
        <w:r w:rsidR="00D84E72">
          <w:rPr>
            <w:webHidden/>
          </w:rPr>
          <w:fldChar w:fldCharType="separate"/>
        </w:r>
        <w:r w:rsidR="00D84E72">
          <w:rPr>
            <w:webHidden/>
          </w:rPr>
          <w:t>10</w:t>
        </w:r>
        <w:r w:rsidR="00D84E72">
          <w:rPr>
            <w:webHidden/>
          </w:rPr>
          <w:fldChar w:fldCharType="end"/>
        </w:r>
      </w:hyperlink>
    </w:p>
    <w:p w14:paraId="27FDC4DC" w14:textId="0C85CB77" w:rsidR="00D84E72" w:rsidRDefault="00000000">
      <w:pPr>
        <w:pStyle w:val="TOC2"/>
        <w:rPr>
          <w:rFonts w:asciiTheme="minorHAnsi" w:eastAsiaTheme="minorEastAsia" w:hAnsiTheme="minorHAnsi"/>
          <w:color w:val="auto"/>
          <w:szCs w:val="22"/>
          <w:lang w:eastAsia="en-GB"/>
        </w:rPr>
      </w:pPr>
      <w:hyperlink w:anchor="_Toc109127501" w:history="1">
        <w:r w:rsidR="00D84E72" w:rsidRPr="00AD5063">
          <w:rPr>
            <w:rStyle w:val="Hyperlink"/>
          </w:rPr>
          <w:t>3.1. Eligibility Principles</w:t>
        </w:r>
        <w:r w:rsidR="00D84E72">
          <w:rPr>
            <w:webHidden/>
          </w:rPr>
          <w:tab/>
        </w:r>
        <w:r w:rsidR="00D84E72">
          <w:rPr>
            <w:webHidden/>
          </w:rPr>
          <w:fldChar w:fldCharType="begin"/>
        </w:r>
        <w:r w:rsidR="00D84E72">
          <w:rPr>
            <w:webHidden/>
          </w:rPr>
          <w:instrText xml:space="preserve"> PAGEREF _Toc109127501 \h </w:instrText>
        </w:r>
        <w:r w:rsidR="00D84E72">
          <w:rPr>
            <w:webHidden/>
          </w:rPr>
        </w:r>
        <w:r w:rsidR="00D84E72">
          <w:rPr>
            <w:webHidden/>
          </w:rPr>
          <w:fldChar w:fldCharType="separate"/>
        </w:r>
        <w:r w:rsidR="00D84E72">
          <w:rPr>
            <w:webHidden/>
          </w:rPr>
          <w:t>10</w:t>
        </w:r>
        <w:r w:rsidR="00D84E72">
          <w:rPr>
            <w:webHidden/>
          </w:rPr>
          <w:fldChar w:fldCharType="end"/>
        </w:r>
      </w:hyperlink>
    </w:p>
    <w:p w14:paraId="4D75EF6F" w14:textId="4A8219A7" w:rsidR="00D84E72" w:rsidRDefault="00000000">
      <w:pPr>
        <w:pStyle w:val="TOC2"/>
        <w:rPr>
          <w:rFonts w:asciiTheme="minorHAnsi" w:eastAsiaTheme="minorEastAsia" w:hAnsiTheme="minorHAnsi"/>
          <w:color w:val="auto"/>
          <w:szCs w:val="22"/>
          <w:lang w:eastAsia="en-GB"/>
        </w:rPr>
      </w:pPr>
      <w:hyperlink w:anchor="_Toc109127502" w:history="1">
        <w:r w:rsidR="00D84E72" w:rsidRPr="00AD5063">
          <w:rPr>
            <w:rStyle w:val="Hyperlink"/>
          </w:rPr>
          <w:t>3.2. Eligible Green Project Categories</w:t>
        </w:r>
        <w:r w:rsidR="00D84E72">
          <w:rPr>
            <w:webHidden/>
          </w:rPr>
          <w:tab/>
        </w:r>
        <w:r w:rsidR="00D84E72">
          <w:rPr>
            <w:webHidden/>
          </w:rPr>
          <w:fldChar w:fldCharType="begin"/>
        </w:r>
        <w:r w:rsidR="00D84E72">
          <w:rPr>
            <w:webHidden/>
          </w:rPr>
          <w:instrText xml:space="preserve"> PAGEREF _Toc109127502 \h </w:instrText>
        </w:r>
        <w:r w:rsidR="00D84E72">
          <w:rPr>
            <w:webHidden/>
          </w:rPr>
        </w:r>
        <w:r w:rsidR="00D84E72">
          <w:rPr>
            <w:webHidden/>
          </w:rPr>
          <w:fldChar w:fldCharType="separate"/>
        </w:r>
        <w:r w:rsidR="00D84E72">
          <w:rPr>
            <w:webHidden/>
          </w:rPr>
          <w:t>11</w:t>
        </w:r>
        <w:r w:rsidR="00D84E72">
          <w:rPr>
            <w:webHidden/>
          </w:rPr>
          <w:fldChar w:fldCharType="end"/>
        </w:r>
      </w:hyperlink>
    </w:p>
    <w:p w14:paraId="406F420D" w14:textId="5FEECFA7" w:rsidR="00D84E72" w:rsidRDefault="00000000">
      <w:pPr>
        <w:pStyle w:val="TOC2"/>
        <w:rPr>
          <w:rFonts w:asciiTheme="minorHAnsi" w:eastAsiaTheme="minorEastAsia" w:hAnsiTheme="minorHAnsi"/>
          <w:color w:val="auto"/>
          <w:szCs w:val="22"/>
          <w:lang w:eastAsia="en-GB"/>
        </w:rPr>
      </w:pPr>
      <w:hyperlink w:anchor="_Toc109127503" w:history="1">
        <w:r w:rsidR="00D84E72" w:rsidRPr="00AD5063">
          <w:rPr>
            <w:rStyle w:val="Hyperlink"/>
          </w:rPr>
          <w:t>3.3. Allocation of Proceeds</w:t>
        </w:r>
        <w:r w:rsidR="00D84E72">
          <w:rPr>
            <w:webHidden/>
          </w:rPr>
          <w:tab/>
        </w:r>
        <w:r w:rsidR="00D84E72">
          <w:rPr>
            <w:webHidden/>
          </w:rPr>
          <w:fldChar w:fldCharType="begin"/>
        </w:r>
        <w:r w:rsidR="00D84E72">
          <w:rPr>
            <w:webHidden/>
          </w:rPr>
          <w:instrText xml:space="preserve"> PAGEREF _Toc109127503 \h </w:instrText>
        </w:r>
        <w:r w:rsidR="00D84E72">
          <w:rPr>
            <w:webHidden/>
          </w:rPr>
        </w:r>
        <w:r w:rsidR="00D84E72">
          <w:rPr>
            <w:webHidden/>
          </w:rPr>
          <w:fldChar w:fldCharType="separate"/>
        </w:r>
        <w:r w:rsidR="00D84E72">
          <w:rPr>
            <w:webHidden/>
          </w:rPr>
          <w:t>14</w:t>
        </w:r>
        <w:r w:rsidR="00D84E72">
          <w:rPr>
            <w:webHidden/>
          </w:rPr>
          <w:fldChar w:fldCharType="end"/>
        </w:r>
      </w:hyperlink>
    </w:p>
    <w:p w14:paraId="0745C691" w14:textId="06777323" w:rsidR="00D84E72" w:rsidRDefault="00000000">
      <w:pPr>
        <w:pStyle w:val="TOC2"/>
        <w:rPr>
          <w:rFonts w:asciiTheme="minorHAnsi" w:eastAsiaTheme="minorEastAsia" w:hAnsiTheme="minorHAnsi"/>
          <w:color w:val="auto"/>
          <w:szCs w:val="22"/>
          <w:lang w:eastAsia="en-GB"/>
        </w:rPr>
      </w:pPr>
      <w:hyperlink w:anchor="_Toc109127504" w:history="1">
        <w:r w:rsidR="00D84E72" w:rsidRPr="00AD5063">
          <w:rPr>
            <w:rStyle w:val="Hyperlink"/>
          </w:rPr>
          <w:t>3.4. Oversight of Management and Allocation of Proceeds</w:t>
        </w:r>
        <w:r w:rsidR="00D84E72">
          <w:rPr>
            <w:webHidden/>
          </w:rPr>
          <w:tab/>
        </w:r>
        <w:r w:rsidR="00D84E72">
          <w:rPr>
            <w:webHidden/>
          </w:rPr>
          <w:fldChar w:fldCharType="begin"/>
        </w:r>
        <w:r w:rsidR="00D84E72">
          <w:rPr>
            <w:webHidden/>
          </w:rPr>
          <w:instrText xml:space="preserve"> PAGEREF _Toc109127504 \h </w:instrText>
        </w:r>
        <w:r w:rsidR="00D84E72">
          <w:rPr>
            <w:webHidden/>
          </w:rPr>
        </w:r>
        <w:r w:rsidR="00D84E72">
          <w:rPr>
            <w:webHidden/>
          </w:rPr>
          <w:fldChar w:fldCharType="separate"/>
        </w:r>
        <w:r w:rsidR="00D84E72">
          <w:rPr>
            <w:webHidden/>
          </w:rPr>
          <w:t>14</w:t>
        </w:r>
        <w:r w:rsidR="00D84E72">
          <w:rPr>
            <w:webHidden/>
          </w:rPr>
          <w:fldChar w:fldCharType="end"/>
        </w:r>
      </w:hyperlink>
    </w:p>
    <w:p w14:paraId="1ADF53FD" w14:textId="5FA7F962" w:rsidR="00D84E72" w:rsidRDefault="00000000">
      <w:pPr>
        <w:pStyle w:val="TOC1"/>
        <w:rPr>
          <w:rFonts w:asciiTheme="minorHAnsi" w:eastAsiaTheme="minorEastAsia" w:hAnsiTheme="minorHAnsi"/>
          <w:color w:val="auto"/>
          <w:szCs w:val="22"/>
          <w:u w:val="none"/>
          <w:lang w:eastAsia="en-GB"/>
        </w:rPr>
      </w:pPr>
      <w:hyperlink w:anchor="_Toc109127505" w:history="1">
        <w:r w:rsidR="00D84E72" w:rsidRPr="00AD5063">
          <w:rPr>
            <w:rStyle w:val="Hyperlink"/>
          </w:rPr>
          <w:t>4. Process for Project Evaluation and Selection</w:t>
        </w:r>
        <w:r w:rsidR="00D84E72">
          <w:rPr>
            <w:webHidden/>
          </w:rPr>
          <w:tab/>
        </w:r>
        <w:r w:rsidR="00D84E72">
          <w:rPr>
            <w:webHidden/>
          </w:rPr>
          <w:fldChar w:fldCharType="begin"/>
        </w:r>
        <w:r w:rsidR="00D84E72">
          <w:rPr>
            <w:webHidden/>
          </w:rPr>
          <w:instrText xml:space="preserve"> PAGEREF _Toc109127505 \h </w:instrText>
        </w:r>
        <w:r w:rsidR="00D84E72">
          <w:rPr>
            <w:webHidden/>
          </w:rPr>
        </w:r>
        <w:r w:rsidR="00D84E72">
          <w:rPr>
            <w:webHidden/>
          </w:rPr>
          <w:fldChar w:fldCharType="separate"/>
        </w:r>
        <w:r w:rsidR="00D84E72">
          <w:rPr>
            <w:webHidden/>
          </w:rPr>
          <w:t>14</w:t>
        </w:r>
        <w:r w:rsidR="00D84E72">
          <w:rPr>
            <w:webHidden/>
          </w:rPr>
          <w:fldChar w:fldCharType="end"/>
        </w:r>
      </w:hyperlink>
    </w:p>
    <w:p w14:paraId="04A5C3F1" w14:textId="4DDA7142" w:rsidR="00D84E72" w:rsidRDefault="00000000">
      <w:pPr>
        <w:pStyle w:val="TOC2"/>
        <w:rPr>
          <w:rFonts w:asciiTheme="minorHAnsi" w:eastAsiaTheme="minorEastAsia" w:hAnsiTheme="minorHAnsi"/>
          <w:color w:val="auto"/>
          <w:szCs w:val="22"/>
          <w:lang w:eastAsia="en-GB"/>
        </w:rPr>
      </w:pPr>
      <w:hyperlink w:anchor="_Toc109127506" w:history="1">
        <w:r w:rsidR="00D84E72" w:rsidRPr="00AD5063">
          <w:rPr>
            <w:rStyle w:val="Hyperlink"/>
          </w:rPr>
          <w:t>4.1. The Bank definition of a Green Project</w:t>
        </w:r>
        <w:r w:rsidR="00D84E72">
          <w:rPr>
            <w:webHidden/>
          </w:rPr>
          <w:tab/>
        </w:r>
        <w:r w:rsidR="00D84E72">
          <w:rPr>
            <w:webHidden/>
          </w:rPr>
          <w:fldChar w:fldCharType="begin"/>
        </w:r>
        <w:r w:rsidR="00D84E72">
          <w:rPr>
            <w:webHidden/>
          </w:rPr>
          <w:instrText xml:space="preserve"> PAGEREF _Toc109127506 \h </w:instrText>
        </w:r>
        <w:r w:rsidR="00D84E72">
          <w:rPr>
            <w:webHidden/>
          </w:rPr>
        </w:r>
        <w:r w:rsidR="00D84E72">
          <w:rPr>
            <w:webHidden/>
          </w:rPr>
          <w:fldChar w:fldCharType="separate"/>
        </w:r>
        <w:r w:rsidR="00D84E72">
          <w:rPr>
            <w:webHidden/>
          </w:rPr>
          <w:t>14</w:t>
        </w:r>
        <w:r w:rsidR="00D84E72">
          <w:rPr>
            <w:webHidden/>
          </w:rPr>
          <w:fldChar w:fldCharType="end"/>
        </w:r>
      </w:hyperlink>
    </w:p>
    <w:p w14:paraId="665A9C69" w14:textId="3766A1BB" w:rsidR="00D84E72" w:rsidRDefault="00000000">
      <w:pPr>
        <w:pStyle w:val="TOC2"/>
        <w:rPr>
          <w:rFonts w:asciiTheme="minorHAnsi" w:eastAsiaTheme="minorEastAsia" w:hAnsiTheme="minorHAnsi"/>
          <w:color w:val="auto"/>
          <w:szCs w:val="22"/>
          <w:lang w:eastAsia="en-GB"/>
        </w:rPr>
      </w:pPr>
      <w:hyperlink w:anchor="_Toc109127507" w:history="1">
        <w:r w:rsidR="00D84E72" w:rsidRPr="00AD5063">
          <w:rPr>
            <w:rStyle w:val="Hyperlink"/>
          </w:rPr>
          <w:t>4.2. Investment</w:t>
        </w:r>
        <w:r w:rsidR="00D84E72" w:rsidRPr="00AD5063">
          <w:rPr>
            <w:rStyle w:val="Hyperlink"/>
            <w:spacing w:val="-5"/>
          </w:rPr>
          <w:t xml:space="preserve"> </w:t>
        </w:r>
        <w:r w:rsidR="00D84E72" w:rsidRPr="00AD5063">
          <w:rPr>
            <w:rStyle w:val="Hyperlink"/>
          </w:rPr>
          <w:t>Restrictions/</w:t>
        </w:r>
        <w:r w:rsidR="00D84E72" w:rsidRPr="00AD5063">
          <w:rPr>
            <w:rStyle w:val="Hyperlink"/>
            <w:spacing w:val="-4"/>
          </w:rPr>
          <w:t xml:space="preserve"> </w:t>
        </w:r>
        <w:r w:rsidR="00D84E72" w:rsidRPr="00AD5063">
          <w:rPr>
            <w:rStyle w:val="Hyperlink"/>
          </w:rPr>
          <w:t>Thresholds</w:t>
        </w:r>
        <w:r w:rsidR="00D84E72" w:rsidRPr="00AD5063">
          <w:rPr>
            <w:rStyle w:val="Hyperlink"/>
            <w:spacing w:val="-3"/>
          </w:rPr>
          <w:t xml:space="preserve"> </w:t>
        </w:r>
        <w:r w:rsidR="00D84E72" w:rsidRPr="00AD5063">
          <w:rPr>
            <w:rStyle w:val="Hyperlink"/>
          </w:rPr>
          <w:t>and</w:t>
        </w:r>
        <w:r w:rsidR="00D84E72" w:rsidRPr="00AD5063">
          <w:rPr>
            <w:rStyle w:val="Hyperlink"/>
            <w:spacing w:val="-1"/>
          </w:rPr>
          <w:t xml:space="preserve"> </w:t>
        </w:r>
        <w:r w:rsidR="00D84E72" w:rsidRPr="00AD5063">
          <w:rPr>
            <w:rStyle w:val="Hyperlink"/>
          </w:rPr>
          <w:t>Exclusion</w:t>
        </w:r>
        <w:r w:rsidR="00D84E72" w:rsidRPr="00AD5063">
          <w:rPr>
            <w:rStyle w:val="Hyperlink"/>
            <w:spacing w:val="-7"/>
          </w:rPr>
          <w:t xml:space="preserve"> </w:t>
        </w:r>
        <w:r w:rsidR="00D84E72" w:rsidRPr="00AD5063">
          <w:rPr>
            <w:rStyle w:val="Hyperlink"/>
          </w:rPr>
          <w:t>Criteria</w:t>
        </w:r>
        <w:r w:rsidR="00D84E72">
          <w:rPr>
            <w:webHidden/>
          </w:rPr>
          <w:tab/>
        </w:r>
        <w:r w:rsidR="00D84E72">
          <w:rPr>
            <w:webHidden/>
          </w:rPr>
          <w:fldChar w:fldCharType="begin"/>
        </w:r>
        <w:r w:rsidR="00D84E72">
          <w:rPr>
            <w:webHidden/>
          </w:rPr>
          <w:instrText xml:space="preserve"> PAGEREF _Toc109127507 \h </w:instrText>
        </w:r>
        <w:r w:rsidR="00D84E72">
          <w:rPr>
            <w:webHidden/>
          </w:rPr>
        </w:r>
        <w:r w:rsidR="00D84E72">
          <w:rPr>
            <w:webHidden/>
          </w:rPr>
          <w:fldChar w:fldCharType="separate"/>
        </w:r>
        <w:r w:rsidR="00D84E72">
          <w:rPr>
            <w:webHidden/>
          </w:rPr>
          <w:t>15</w:t>
        </w:r>
        <w:r w:rsidR="00D84E72">
          <w:rPr>
            <w:webHidden/>
          </w:rPr>
          <w:fldChar w:fldCharType="end"/>
        </w:r>
      </w:hyperlink>
    </w:p>
    <w:p w14:paraId="3D2F5A43" w14:textId="161FDB39" w:rsidR="00D84E72" w:rsidRDefault="00000000">
      <w:pPr>
        <w:pStyle w:val="TOC2"/>
        <w:rPr>
          <w:rFonts w:asciiTheme="minorHAnsi" w:eastAsiaTheme="minorEastAsia" w:hAnsiTheme="minorHAnsi"/>
          <w:color w:val="auto"/>
          <w:szCs w:val="22"/>
          <w:lang w:eastAsia="en-GB"/>
        </w:rPr>
      </w:pPr>
      <w:hyperlink w:anchor="_Toc109127508" w:history="1">
        <w:r w:rsidR="00D84E72" w:rsidRPr="00AD5063">
          <w:rPr>
            <w:rStyle w:val="Hyperlink"/>
          </w:rPr>
          <w:t>4.3. Decision Making Process for Selection of Eligible Projects</w:t>
        </w:r>
        <w:r w:rsidR="00D84E72">
          <w:rPr>
            <w:webHidden/>
          </w:rPr>
          <w:tab/>
        </w:r>
        <w:r w:rsidR="00D84E72">
          <w:rPr>
            <w:webHidden/>
          </w:rPr>
          <w:fldChar w:fldCharType="begin"/>
        </w:r>
        <w:r w:rsidR="00D84E72">
          <w:rPr>
            <w:webHidden/>
          </w:rPr>
          <w:instrText xml:space="preserve"> PAGEREF _Toc109127508 \h </w:instrText>
        </w:r>
        <w:r w:rsidR="00D84E72">
          <w:rPr>
            <w:webHidden/>
          </w:rPr>
        </w:r>
        <w:r w:rsidR="00D84E72">
          <w:rPr>
            <w:webHidden/>
          </w:rPr>
          <w:fldChar w:fldCharType="separate"/>
        </w:r>
        <w:r w:rsidR="00D84E72">
          <w:rPr>
            <w:webHidden/>
          </w:rPr>
          <w:t>17</w:t>
        </w:r>
        <w:r w:rsidR="00D84E72">
          <w:rPr>
            <w:webHidden/>
          </w:rPr>
          <w:fldChar w:fldCharType="end"/>
        </w:r>
      </w:hyperlink>
    </w:p>
    <w:p w14:paraId="5CA68851" w14:textId="6776EBEC" w:rsidR="00D84E72" w:rsidRDefault="00000000">
      <w:pPr>
        <w:pStyle w:val="TOC1"/>
        <w:rPr>
          <w:rFonts w:asciiTheme="minorHAnsi" w:eastAsiaTheme="minorEastAsia" w:hAnsiTheme="minorHAnsi"/>
          <w:color w:val="auto"/>
          <w:szCs w:val="22"/>
          <w:u w:val="none"/>
          <w:lang w:eastAsia="en-GB"/>
        </w:rPr>
      </w:pPr>
      <w:hyperlink w:anchor="_Toc109127509" w:history="1">
        <w:r w:rsidR="00D84E72" w:rsidRPr="00AD5063">
          <w:rPr>
            <w:rStyle w:val="Hyperlink"/>
          </w:rPr>
          <w:t>5. Management of Proceeds</w:t>
        </w:r>
        <w:r w:rsidR="00D84E72">
          <w:rPr>
            <w:webHidden/>
          </w:rPr>
          <w:tab/>
        </w:r>
        <w:r w:rsidR="00D84E72">
          <w:rPr>
            <w:webHidden/>
          </w:rPr>
          <w:fldChar w:fldCharType="begin"/>
        </w:r>
        <w:r w:rsidR="00D84E72">
          <w:rPr>
            <w:webHidden/>
          </w:rPr>
          <w:instrText xml:space="preserve"> PAGEREF _Toc109127509 \h </w:instrText>
        </w:r>
        <w:r w:rsidR="00D84E72">
          <w:rPr>
            <w:webHidden/>
          </w:rPr>
        </w:r>
        <w:r w:rsidR="00D84E72">
          <w:rPr>
            <w:webHidden/>
          </w:rPr>
          <w:fldChar w:fldCharType="separate"/>
        </w:r>
        <w:r w:rsidR="00D84E72">
          <w:rPr>
            <w:webHidden/>
          </w:rPr>
          <w:t>18</w:t>
        </w:r>
        <w:r w:rsidR="00D84E72">
          <w:rPr>
            <w:webHidden/>
          </w:rPr>
          <w:fldChar w:fldCharType="end"/>
        </w:r>
      </w:hyperlink>
    </w:p>
    <w:p w14:paraId="7BC86C4E" w14:textId="05DC6F68" w:rsidR="00D84E72" w:rsidRDefault="00000000">
      <w:pPr>
        <w:pStyle w:val="TOC2"/>
        <w:rPr>
          <w:rFonts w:asciiTheme="minorHAnsi" w:eastAsiaTheme="minorEastAsia" w:hAnsiTheme="minorHAnsi"/>
          <w:color w:val="auto"/>
          <w:szCs w:val="22"/>
          <w:lang w:eastAsia="en-GB"/>
        </w:rPr>
      </w:pPr>
      <w:hyperlink w:anchor="_Toc109127510" w:history="1">
        <w:r w:rsidR="00D84E72" w:rsidRPr="00AD5063">
          <w:rPr>
            <w:rStyle w:val="Hyperlink"/>
          </w:rPr>
          <w:t>5.1. Oversight of Green Bond Programme Operations</w:t>
        </w:r>
        <w:r w:rsidR="00D84E72">
          <w:rPr>
            <w:webHidden/>
          </w:rPr>
          <w:tab/>
        </w:r>
        <w:r w:rsidR="00D84E72">
          <w:rPr>
            <w:webHidden/>
          </w:rPr>
          <w:fldChar w:fldCharType="begin"/>
        </w:r>
        <w:r w:rsidR="00D84E72">
          <w:rPr>
            <w:webHidden/>
          </w:rPr>
          <w:instrText xml:space="preserve"> PAGEREF _Toc109127510 \h </w:instrText>
        </w:r>
        <w:r w:rsidR="00D84E72">
          <w:rPr>
            <w:webHidden/>
          </w:rPr>
        </w:r>
        <w:r w:rsidR="00D84E72">
          <w:rPr>
            <w:webHidden/>
          </w:rPr>
          <w:fldChar w:fldCharType="separate"/>
        </w:r>
        <w:r w:rsidR="00D84E72">
          <w:rPr>
            <w:webHidden/>
          </w:rPr>
          <w:t>18</w:t>
        </w:r>
        <w:r w:rsidR="00D84E72">
          <w:rPr>
            <w:webHidden/>
          </w:rPr>
          <w:fldChar w:fldCharType="end"/>
        </w:r>
      </w:hyperlink>
    </w:p>
    <w:p w14:paraId="52EFE738" w14:textId="730A42E6" w:rsidR="00D84E72" w:rsidRDefault="00000000">
      <w:pPr>
        <w:pStyle w:val="TOC2"/>
        <w:rPr>
          <w:rFonts w:asciiTheme="minorHAnsi" w:eastAsiaTheme="minorEastAsia" w:hAnsiTheme="minorHAnsi"/>
          <w:color w:val="auto"/>
          <w:szCs w:val="22"/>
          <w:lang w:eastAsia="en-GB"/>
        </w:rPr>
      </w:pPr>
      <w:hyperlink w:anchor="_Toc109127511" w:history="1">
        <w:r w:rsidR="00D84E72" w:rsidRPr="00AD5063">
          <w:rPr>
            <w:rStyle w:val="Hyperlink"/>
          </w:rPr>
          <w:t>5.2. BANK Portfolio Management Policy</w:t>
        </w:r>
        <w:r w:rsidR="00D84E72">
          <w:rPr>
            <w:webHidden/>
          </w:rPr>
          <w:tab/>
        </w:r>
        <w:r w:rsidR="00D84E72">
          <w:rPr>
            <w:webHidden/>
          </w:rPr>
          <w:fldChar w:fldCharType="begin"/>
        </w:r>
        <w:r w:rsidR="00D84E72">
          <w:rPr>
            <w:webHidden/>
          </w:rPr>
          <w:instrText xml:space="preserve"> PAGEREF _Toc109127511 \h </w:instrText>
        </w:r>
        <w:r w:rsidR="00D84E72">
          <w:rPr>
            <w:webHidden/>
          </w:rPr>
        </w:r>
        <w:r w:rsidR="00D84E72">
          <w:rPr>
            <w:webHidden/>
          </w:rPr>
          <w:fldChar w:fldCharType="separate"/>
        </w:r>
        <w:r w:rsidR="00D84E72">
          <w:rPr>
            <w:webHidden/>
          </w:rPr>
          <w:t>19</w:t>
        </w:r>
        <w:r w:rsidR="00D84E72">
          <w:rPr>
            <w:webHidden/>
          </w:rPr>
          <w:fldChar w:fldCharType="end"/>
        </w:r>
      </w:hyperlink>
    </w:p>
    <w:p w14:paraId="588624FC" w14:textId="2C547ABB" w:rsidR="00D84E72" w:rsidRDefault="00000000">
      <w:pPr>
        <w:pStyle w:val="TOC2"/>
        <w:rPr>
          <w:rFonts w:asciiTheme="minorHAnsi" w:eastAsiaTheme="minorEastAsia" w:hAnsiTheme="minorHAnsi"/>
          <w:color w:val="auto"/>
          <w:szCs w:val="22"/>
          <w:lang w:eastAsia="en-GB"/>
        </w:rPr>
      </w:pPr>
      <w:hyperlink w:anchor="_Toc109127512" w:history="1">
        <w:r w:rsidR="00D84E72" w:rsidRPr="00AD5063">
          <w:rPr>
            <w:rStyle w:val="Hyperlink"/>
          </w:rPr>
          <w:t>5.3. Procedures for Management of Proceeds</w:t>
        </w:r>
        <w:r w:rsidR="00D84E72">
          <w:rPr>
            <w:webHidden/>
          </w:rPr>
          <w:tab/>
        </w:r>
        <w:r w:rsidR="00D84E72">
          <w:rPr>
            <w:webHidden/>
          </w:rPr>
          <w:fldChar w:fldCharType="begin"/>
        </w:r>
        <w:r w:rsidR="00D84E72">
          <w:rPr>
            <w:webHidden/>
          </w:rPr>
          <w:instrText xml:space="preserve"> PAGEREF _Toc109127512 \h </w:instrText>
        </w:r>
        <w:r w:rsidR="00D84E72">
          <w:rPr>
            <w:webHidden/>
          </w:rPr>
        </w:r>
        <w:r w:rsidR="00D84E72">
          <w:rPr>
            <w:webHidden/>
          </w:rPr>
          <w:fldChar w:fldCharType="separate"/>
        </w:r>
        <w:r w:rsidR="00D84E72">
          <w:rPr>
            <w:webHidden/>
          </w:rPr>
          <w:t>19</w:t>
        </w:r>
        <w:r w:rsidR="00D84E72">
          <w:rPr>
            <w:webHidden/>
          </w:rPr>
          <w:fldChar w:fldCharType="end"/>
        </w:r>
      </w:hyperlink>
    </w:p>
    <w:p w14:paraId="2D45C8FD" w14:textId="70FDE365" w:rsidR="00D84E72" w:rsidRDefault="00000000">
      <w:pPr>
        <w:pStyle w:val="TOC1"/>
        <w:rPr>
          <w:rFonts w:asciiTheme="minorHAnsi" w:eastAsiaTheme="minorEastAsia" w:hAnsiTheme="minorHAnsi"/>
          <w:color w:val="auto"/>
          <w:szCs w:val="22"/>
          <w:u w:val="none"/>
          <w:lang w:eastAsia="en-GB"/>
        </w:rPr>
      </w:pPr>
      <w:hyperlink w:anchor="_Toc109127513" w:history="1">
        <w:r w:rsidR="00D84E72" w:rsidRPr="00AD5063">
          <w:rPr>
            <w:rStyle w:val="Hyperlink"/>
          </w:rPr>
          <w:t>6. Reporting</w:t>
        </w:r>
        <w:r w:rsidR="00D84E72">
          <w:rPr>
            <w:webHidden/>
          </w:rPr>
          <w:tab/>
        </w:r>
        <w:r w:rsidR="00D84E72">
          <w:rPr>
            <w:webHidden/>
          </w:rPr>
          <w:fldChar w:fldCharType="begin"/>
        </w:r>
        <w:r w:rsidR="00D84E72">
          <w:rPr>
            <w:webHidden/>
          </w:rPr>
          <w:instrText xml:space="preserve"> PAGEREF _Toc109127513 \h </w:instrText>
        </w:r>
        <w:r w:rsidR="00D84E72">
          <w:rPr>
            <w:webHidden/>
          </w:rPr>
        </w:r>
        <w:r w:rsidR="00D84E72">
          <w:rPr>
            <w:webHidden/>
          </w:rPr>
          <w:fldChar w:fldCharType="separate"/>
        </w:r>
        <w:r w:rsidR="00D84E72">
          <w:rPr>
            <w:webHidden/>
          </w:rPr>
          <w:t>20</w:t>
        </w:r>
        <w:r w:rsidR="00D84E72">
          <w:rPr>
            <w:webHidden/>
          </w:rPr>
          <w:fldChar w:fldCharType="end"/>
        </w:r>
      </w:hyperlink>
    </w:p>
    <w:p w14:paraId="693C6BE6" w14:textId="7B27A9EA" w:rsidR="00D84E72" w:rsidRDefault="00000000">
      <w:pPr>
        <w:pStyle w:val="TOC2"/>
        <w:rPr>
          <w:rFonts w:asciiTheme="minorHAnsi" w:eastAsiaTheme="minorEastAsia" w:hAnsiTheme="minorHAnsi"/>
          <w:color w:val="auto"/>
          <w:szCs w:val="22"/>
          <w:lang w:eastAsia="en-GB"/>
        </w:rPr>
      </w:pPr>
      <w:hyperlink w:anchor="_Toc109127514" w:history="1">
        <w:r w:rsidR="00D84E72" w:rsidRPr="00AD5063">
          <w:rPr>
            <w:rStyle w:val="Hyperlink"/>
          </w:rPr>
          <w:t>6.1. Development Results Reporting Framework</w:t>
        </w:r>
        <w:r w:rsidR="00D84E72">
          <w:rPr>
            <w:webHidden/>
          </w:rPr>
          <w:tab/>
        </w:r>
        <w:r w:rsidR="00D84E72">
          <w:rPr>
            <w:webHidden/>
          </w:rPr>
          <w:fldChar w:fldCharType="begin"/>
        </w:r>
        <w:r w:rsidR="00D84E72">
          <w:rPr>
            <w:webHidden/>
          </w:rPr>
          <w:instrText xml:space="preserve"> PAGEREF _Toc109127514 \h </w:instrText>
        </w:r>
        <w:r w:rsidR="00D84E72">
          <w:rPr>
            <w:webHidden/>
          </w:rPr>
        </w:r>
        <w:r w:rsidR="00D84E72">
          <w:rPr>
            <w:webHidden/>
          </w:rPr>
          <w:fldChar w:fldCharType="separate"/>
        </w:r>
        <w:r w:rsidR="00D84E72">
          <w:rPr>
            <w:webHidden/>
          </w:rPr>
          <w:t>20</w:t>
        </w:r>
        <w:r w:rsidR="00D84E72">
          <w:rPr>
            <w:webHidden/>
          </w:rPr>
          <w:fldChar w:fldCharType="end"/>
        </w:r>
      </w:hyperlink>
    </w:p>
    <w:p w14:paraId="4E04362A" w14:textId="1732FBE4" w:rsidR="00D84E72" w:rsidRDefault="00000000">
      <w:pPr>
        <w:pStyle w:val="TOC2"/>
        <w:rPr>
          <w:rFonts w:asciiTheme="minorHAnsi" w:eastAsiaTheme="minorEastAsia" w:hAnsiTheme="minorHAnsi"/>
          <w:color w:val="auto"/>
          <w:szCs w:val="22"/>
          <w:lang w:eastAsia="en-GB"/>
        </w:rPr>
      </w:pPr>
      <w:hyperlink w:anchor="_Toc109127515" w:history="1">
        <w:r w:rsidR="00D84E72" w:rsidRPr="00AD5063">
          <w:rPr>
            <w:rStyle w:val="Hyperlink"/>
          </w:rPr>
          <w:t>6.2. Impact Reporting</w:t>
        </w:r>
        <w:r w:rsidR="00D84E72">
          <w:rPr>
            <w:webHidden/>
          </w:rPr>
          <w:tab/>
        </w:r>
        <w:r w:rsidR="00D84E72">
          <w:rPr>
            <w:webHidden/>
          </w:rPr>
          <w:fldChar w:fldCharType="begin"/>
        </w:r>
        <w:r w:rsidR="00D84E72">
          <w:rPr>
            <w:webHidden/>
          </w:rPr>
          <w:instrText xml:space="preserve"> PAGEREF _Toc109127515 \h </w:instrText>
        </w:r>
        <w:r w:rsidR="00D84E72">
          <w:rPr>
            <w:webHidden/>
          </w:rPr>
        </w:r>
        <w:r w:rsidR="00D84E72">
          <w:rPr>
            <w:webHidden/>
          </w:rPr>
          <w:fldChar w:fldCharType="separate"/>
        </w:r>
        <w:r w:rsidR="00D84E72">
          <w:rPr>
            <w:webHidden/>
          </w:rPr>
          <w:t>20</w:t>
        </w:r>
        <w:r w:rsidR="00D84E72">
          <w:rPr>
            <w:webHidden/>
          </w:rPr>
          <w:fldChar w:fldCharType="end"/>
        </w:r>
      </w:hyperlink>
    </w:p>
    <w:p w14:paraId="129EBA69" w14:textId="4588E262" w:rsidR="00D84E72" w:rsidRDefault="00000000">
      <w:pPr>
        <w:pStyle w:val="TOC2"/>
        <w:rPr>
          <w:rFonts w:asciiTheme="minorHAnsi" w:eastAsiaTheme="minorEastAsia" w:hAnsiTheme="minorHAnsi"/>
          <w:color w:val="auto"/>
          <w:szCs w:val="22"/>
          <w:lang w:eastAsia="en-GB"/>
        </w:rPr>
      </w:pPr>
      <w:hyperlink w:anchor="_Toc109127516" w:history="1">
        <w:r w:rsidR="00D84E72" w:rsidRPr="00AD5063">
          <w:rPr>
            <w:rStyle w:val="Hyperlink"/>
          </w:rPr>
          <w:t>6.3. External Reviews</w:t>
        </w:r>
        <w:r w:rsidR="00D84E72">
          <w:rPr>
            <w:webHidden/>
          </w:rPr>
          <w:tab/>
        </w:r>
        <w:r w:rsidR="00D84E72">
          <w:rPr>
            <w:webHidden/>
          </w:rPr>
          <w:fldChar w:fldCharType="begin"/>
        </w:r>
        <w:r w:rsidR="00D84E72">
          <w:rPr>
            <w:webHidden/>
          </w:rPr>
          <w:instrText xml:space="preserve"> PAGEREF _Toc109127516 \h </w:instrText>
        </w:r>
        <w:r w:rsidR="00D84E72">
          <w:rPr>
            <w:webHidden/>
          </w:rPr>
        </w:r>
        <w:r w:rsidR="00D84E72">
          <w:rPr>
            <w:webHidden/>
          </w:rPr>
          <w:fldChar w:fldCharType="separate"/>
        </w:r>
        <w:r w:rsidR="00D84E72">
          <w:rPr>
            <w:webHidden/>
          </w:rPr>
          <w:t>22</w:t>
        </w:r>
        <w:r w:rsidR="00D84E72">
          <w:rPr>
            <w:webHidden/>
          </w:rPr>
          <w:fldChar w:fldCharType="end"/>
        </w:r>
      </w:hyperlink>
    </w:p>
    <w:p w14:paraId="6E61F6C1" w14:textId="19E40BE8" w:rsidR="00D84E72" w:rsidRDefault="00000000">
      <w:pPr>
        <w:pStyle w:val="TOC3"/>
        <w:rPr>
          <w:rFonts w:asciiTheme="minorHAnsi" w:eastAsiaTheme="minorEastAsia" w:hAnsiTheme="minorHAnsi"/>
          <w:color w:val="auto"/>
          <w:sz w:val="22"/>
          <w:szCs w:val="22"/>
          <w:lang w:eastAsia="en-GB"/>
        </w:rPr>
      </w:pPr>
      <w:hyperlink w:anchor="_Toc109127517" w:history="1">
        <w:r w:rsidR="00D84E72" w:rsidRPr="00AD5063">
          <w:rPr>
            <w:rStyle w:val="Hyperlink"/>
          </w:rPr>
          <w:t>6.3.1. Independent Second Party Opinion</w:t>
        </w:r>
        <w:r w:rsidR="00D84E72">
          <w:rPr>
            <w:webHidden/>
          </w:rPr>
          <w:tab/>
        </w:r>
        <w:r w:rsidR="00D84E72">
          <w:rPr>
            <w:webHidden/>
          </w:rPr>
          <w:fldChar w:fldCharType="begin"/>
        </w:r>
        <w:r w:rsidR="00D84E72">
          <w:rPr>
            <w:webHidden/>
          </w:rPr>
          <w:instrText xml:space="preserve"> PAGEREF _Toc109127517 \h </w:instrText>
        </w:r>
        <w:r w:rsidR="00D84E72">
          <w:rPr>
            <w:webHidden/>
          </w:rPr>
        </w:r>
        <w:r w:rsidR="00D84E72">
          <w:rPr>
            <w:webHidden/>
          </w:rPr>
          <w:fldChar w:fldCharType="separate"/>
        </w:r>
        <w:r w:rsidR="00D84E72">
          <w:rPr>
            <w:webHidden/>
          </w:rPr>
          <w:t>22</w:t>
        </w:r>
        <w:r w:rsidR="00D84E72">
          <w:rPr>
            <w:webHidden/>
          </w:rPr>
          <w:fldChar w:fldCharType="end"/>
        </w:r>
      </w:hyperlink>
    </w:p>
    <w:p w14:paraId="3F443530" w14:textId="5A285DA5" w:rsidR="00D84E72" w:rsidRDefault="00000000">
      <w:pPr>
        <w:pStyle w:val="TOC3"/>
        <w:rPr>
          <w:rFonts w:asciiTheme="minorHAnsi" w:eastAsiaTheme="minorEastAsia" w:hAnsiTheme="minorHAnsi"/>
          <w:color w:val="auto"/>
          <w:sz w:val="22"/>
          <w:szCs w:val="22"/>
          <w:lang w:eastAsia="en-GB"/>
        </w:rPr>
      </w:pPr>
      <w:hyperlink w:anchor="_Toc109127518" w:history="1">
        <w:r w:rsidR="00D84E72" w:rsidRPr="00AD5063">
          <w:rPr>
            <w:rStyle w:val="Hyperlink"/>
          </w:rPr>
          <w:t>6.3.2. External Verification</w:t>
        </w:r>
        <w:r w:rsidR="00D84E72">
          <w:rPr>
            <w:webHidden/>
          </w:rPr>
          <w:tab/>
        </w:r>
        <w:r w:rsidR="00D84E72">
          <w:rPr>
            <w:webHidden/>
          </w:rPr>
          <w:fldChar w:fldCharType="begin"/>
        </w:r>
        <w:r w:rsidR="00D84E72">
          <w:rPr>
            <w:webHidden/>
          </w:rPr>
          <w:instrText xml:space="preserve"> PAGEREF _Toc109127518 \h </w:instrText>
        </w:r>
        <w:r w:rsidR="00D84E72">
          <w:rPr>
            <w:webHidden/>
          </w:rPr>
        </w:r>
        <w:r w:rsidR="00D84E72">
          <w:rPr>
            <w:webHidden/>
          </w:rPr>
          <w:fldChar w:fldCharType="separate"/>
        </w:r>
        <w:r w:rsidR="00D84E72">
          <w:rPr>
            <w:webHidden/>
          </w:rPr>
          <w:t>22</w:t>
        </w:r>
        <w:r w:rsidR="00D84E72">
          <w:rPr>
            <w:webHidden/>
          </w:rPr>
          <w:fldChar w:fldCharType="end"/>
        </w:r>
      </w:hyperlink>
    </w:p>
    <w:p w14:paraId="36B93BA5" w14:textId="5F858AF4" w:rsidR="00D84E72" w:rsidRDefault="00000000">
      <w:pPr>
        <w:pStyle w:val="TOC1"/>
        <w:rPr>
          <w:rFonts w:asciiTheme="minorHAnsi" w:eastAsiaTheme="minorEastAsia" w:hAnsiTheme="minorHAnsi"/>
          <w:color w:val="auto"/>
          <w:szCs w:val="22"/>
          <w:u w:val="none"/>
          <w:lang w:eastAsia="en-GB"/>
        </w:rPr>
      </w:pPr>
      <w:hyperlink w:anchor="_Toc109127519" w:history="1">
        <w:r w:rsidR="00D84E72" w:rsidRPr="00AD5063">
          <w:rPr>
            <w:rStyle w:val="Hyperlink"/>
          </w:rPr>
          <w:t>Annex 1: Relevant background information about Armenia</w:t>
        </w:r>
        <w:r w:rsidR="00D84E72">
          <w:rPr>
            <w:webHidden/>
          </w:rPr>
          <w:tab/>
        </w:r>
        <w:r w:rsidR="00D84E72">
          <w:rPr>
            <w:webHidden/>
          </w:rPr>
          <w:fldChar w:fldCharType="begin"/>
        </w:r>
        <w:r w:rsidR="00D84E72">
          <w:rPr>
            <w:webHidden/>
          </w:rPr>
          <w:instrText xml:space="preserve"> PAGEREF _Toc109127519 \h </w:instrText>
        </w:r>
        <w:r w:rsidR="00D84E72">
          <w:rPr>
            <w:webHidden/>
          </w:rPr>
        </w:r>
        <w:r w:rsidR="00D84E72">
          <w:rPr>
            <w:webHidden/>
          </w:rPr>
          <w:fldChar w:fldCharType="separate"/>
        </w:r>
        <w:r w:rsidR="00D84E72">
          <w:rPr>
            <w:webHidden/>
          </w:rPr>
          <w:t>23</w:t>
        </w:r>
        <w:r w:rsidR="00D84E72">
          <w:rPr>
            <w:webHidden/>
          </w:rPr>
          <w:fldChar w:fldCharType="end"/>
        </w:r>
      </w:hyperlink>
    </w:p>
    <w:p w14:paraId="7B31EE2C" w14:textId="1CB07D1B" w:rsidR="00D84E72" w:rsidRDefault="00000000">
      <w:pPr>
        <w:pStyle w:val="TOC2"/>
        <w:rPr>
          <w:rFonts w:asciiTheme="minorHAnsi" w:eastAsiaTheme="minorEastAsia" w:hAnsiTheme="minorHAnsi"/>
          <w:color w:val="auto"/>
          <w:szCs w:val="22"/>
          <w:lang w:eastAsia="en-GB"/>
        </w:rPr>
      </w:pPr>
      <w:hyperlink w:anchor="_Toc109127520" w:history="1">
        <w:r w:rsidR="00D84E72" w:rsidRPr="00AD5063">
          <w:rPr>
            <w:rStyle w:val="Hyperlink"/>
          </w:rPr>
          <w:t>Armenia Financial Ecosystem and meeting the Paris Agreement targets and ESG goals</w:t>
        </w:r>
        <w:r w:rsidR="00D84E72">
          <w:rPr>
            <w:webHidden/>
          </w:rPr>
          <w:tab/>
        </w:r>
        <w:r w:rsidR="00D84E72">
          <w:rPr>
            <w:webHidden/>
          </w:rPr>
          <w:fldChar w:fldCharType="begin"/>
        </w:r>
        <w:r w:rsidR="00D84E72">
          <w:rPr>
            <w:webHidden/>
          </w:rPr>
          <w:instrText xml:space="preserve"> PAGEREF _Toc109127520 \h </w:instrText>
        </w:r>
        <w:r w:rsidR="00D84E72">
          <w:rPr>
            <w:webHidden/>
          </w:rPr>
        </w:r>
        <w:r w:rsidR="00D84E72">
          <w:rPr>
            <w:webHidden/>
          </w:rPr>
          <w:fldChar w:fldCharType="separate"/>
        </w:r>
        <w:r w:rsidR="00D84E72">
          <w:rPr>
            <w:webHidden/>
          </w:rPr>
          <w:t>23</w:t>
        </w:r>
        <w:r w:rsidR="00D84E72">
          <w:rPr>
            <w:webHidden/>
          </w:rPr>
          <w:fldChar w:fldCharType="end"/>
        </w:r>
      </w:hyperlink>
    </w:p>
    <w:p w14:paraId="458B07E5" w14:textId="4142F3FF" w:rsidR="00D84E72" w:rsidRDefault="00000000">
      <w:pPr>
        <w:pStyle w:val="TOC2"/>
        <w:rPr>
          <w:rFonts w:asciiTheme="minorHAnsi" w:eastAsiaTheme="minorEastAsia" w:hAnsiTheme="minorHAnsi"/>
          <w:color w:val="auto"/>
          <w:szCs w:val="22"/>
          <w:lang w:eastAsia="en-GB"/>
        </w:rPr>
      </w:pPr>
      <w:hyperlink w:anchor="_Toc109127521" w:history="1">
        <w:r w:rsidR="00D84E72" w:rsidRPr="00AD5063">
          <w:rPr>
            <w:rStyle w:val="Hyperlink"/>
          </w:rPr>
          <w:t>Armenia NDC (Nationally Determined Contribution) Plan Commitment to Sustainable Development</w:t>
        </w:r>
        <w:r w:rsidR="00D84E72">
          <w:rPr>
            <w:webHidden/>
          </w:rPr>
          <w:tab/>
        </w:r>
        <w:r w:rsidR="00D84E72">
          <w:rPr>
            <w:webHidden/>
          </w:rPr>
          <w:fldChar w:fldCharType="begin"/>
        </w:r>
        <w:r w:rsidR="00D84E72">
          <w:rPr>
            <w:webHidden/>
          </w:rPr>
          <w:instrText xml:space="preserve"> PAGEREF _Toc109127521 \h </w:instrText>
        </w:r>
        <w:r w:rsidR="00D84E72">
          <w:rPr>
            <w:webHidden/>
          </w:rPr>
        </w:r>
        <w:r w:rsidR="00D84E72">
          <w:rPr>
            <w:webHidden/>
          </w:rPr>
          <w:fldChar w:fldCharType="separate"/>
        </w:r>
        <w:r w:rsidR="00D84E72">
          <w:rPr>
            <w:webHidden/>
          </w:rPr>
          <w:t>24</w:t>
        </w:r>
        <w:r w:rsidR="00D84E72">
          <w:rPr>
            <w:webHidden/>
          </w:rPr>
          <w:fldChar w:fldCharType="end"/>
        </w:r>
      </w:hyperlink>
    </w:p>
    <w:p w14:paraId="01BAA40D" w14:textId="5600CE50" w:rsidR="00D84E72" w:rsidRDefault="00000000">
      <w:pPr>
        <w:pStyle w:val="TOC1"/>
        <w:rPr>
          <w:rFonts w:asciiTheme="minorHAnsi" w:eastAsiaTheme="minorEastAsia" w:hAnsiTheme="minorHAnsi"/>
          <w:color w:val="auto"/>
          <w:szCs w:val="22"/>
          <w:u w:val="none"/>
          <w:lang w:eastAsia="en-GB"/>
        </w:rPr>
      </w:pPr>
      <w:hyperlink w:anchor="_Toc109127522" w:history="1">
        <w:r w:rsidR="00D84E72" w:rsidRPr="00AD5063">
          <w:rPr>
            <w:rStyle w:val="Hyperlink"/>
          </w:rPr>
          <w:t>Annex 2: Climate Bond Taxonomy of key sectors</w:t>
        </w:r>
        <w:r w:rsidR="00D84E72">
          <w:rPr>
            <w:webHidden/>
          </w:rPr>
          <w:tab/>
        </w:r>
        <w:r w:rsidR="00D84E72">
          <w:rPr>
            <w:webHidden/>
          </w:rPr>
          <w:fldChar w:fldCharType="begin"/>
        </w:r>
        <w:r w:rsidR="00D84E72">
          <w:rPr>
            <w:webHidden/>
          </w:rPr>
          <w:instrText xml:space="preserve"> PAGEREF _Toc109127522 \h </w:instrText>
        </w:r>
        <w:r w:rsidR="00D84E72">
          <w:rPr>
            <w:webHidden/>
          </w:rPr>
        </w:r>
        <w:r w:rsidR="00D84E72">
          <w:rPr>
            <w:webHidden/>
          </w:rPr>
          <w:fldChar w:fldCharType="separate"/>
        </w:r>
        <w:r w:rsidR="00D84E72">
          <w:rPr>
            <w:webHidden/>
          </w:rPr>
          <w:t>27</w:t>
        </w:r>
        <w:r w:rsidR="00D84E72">
          <w:rPr>
            <w:webHidden/>
          </w:rPr>
          <w:fldChar w:fldCharType="end"/>
        </w:r>
      </w:hyperlink>
    </w:p>
    <w:p w14:paraId="7034419D" w14:textId="3D9E7D34" w:rsidR="00D84E72" w:rsidRDefault="00000000">
      <w:pPr>
        <w:pStyle w:val="TOC1"/>
        <w:rPr>
          <w:rFonts w:asciiTheme="minorHAnsi" w:eastAsiaTheme="minorEastAsia" w:hAnsiTheme="minorHAnsi"/>
          <w:color w:val="auto"/>
          <w:szCs w:val="22"/>
          <w:u w:val="none"/>
          <w:lang w:eastAsia="en-GB"/>
        </w:rPr>
      </w:pPr>
      <w:hyperlink w:anchor="_Toc109127523" w:history="1">
        <w:r w:rsidR="00D84E72" w:rsidRPr="00AD5063">
          <w:rPr>
            <w:rStyle w:val="Hyperlink"/>
          </w:rPr>
          <w:t>Annex 3: ICMA Eligible Green Projects categories</w:t>
        </w:r>
        <w:r w:rsidR="00D84E72">
          <w:rPr>
            <w:webHidden/>
          </w:rPr>
          <w:tab/>
        </w:r>
        <w:r w:rsidR="00D84E72">
          <w:rPr>
            <w:webHidden/>
          </w:rPr>
          <w:fldChar w:fldCharType="begin"/>
        </w:r>
        <w:r w:rsidR="00D84E72">
          <w:rPr>
            <w:webHidden/>
          </w:rPr>
          <w:instrText xml:space="preserve"> PAGEREF _Toc109127523 \h </w:instrText>
        </w:r>
        <w:r w:rsidR="00D84E72">
          <w:rPr>
            <w:webHidden/>
          </w:rPr>
        </w:r>
        <w:r w:rsidR="00D84E72">
          <w:rPr>
            <w:webHidden/>
          </w:rPr>
          <w:fldChar w:fldCharType="separate"/>
        </w:r>
        <w:r w:rsidR="00D84E72">
          <w:rPr>
            <w:webHidden/>
          </w:rPr>
          <w:t>31</w:t>
        </w:r>
        <w:r w:rsidR="00D84E72">
          <w:rPr>
            <w:webHidden/>
          </w:rPr>
          <w:fldChar w:fldCharType="end"/>
        </w:r>
      </w:hyperlink>
    </w:p>
    <w:p w14:paraId="559BE171" w14:textId="1FC61B67" w:rsidR="00885AD7" w:rsidRDefault="00C51887" w:rsidP="00885AD7">
      <w:pPr>
        <w:rPr>
          <w:noProof/>
        </w:rPr>
      </w:pPr>
      <w:r w:rsidRPr="005A3F27">
        <w:rPr>
          <w:noProof/>
        </w:rPr>
        <w:fldChar w:fldCharType="end"/>
      </w:r>
      <w:r w:rsidR="00885AD7">
        <w:rPr>
          <w:noProof/>
        </w:rPr>
        <w:br w:type="page"/>
      </w:r>
    </w:p>
    <w:p w14:paraId="505230E1" w14:textId="5CD0E988" w:rsidR="00F80B15" w:rsidRPr="005A3F27" w:rsidRDefault="00516617" w:rsidP="00E9465E">
      <w:pPr>
        <w:pStyle w:val="Heading1"/>
        <w:rPr>
          <w:noProof/>
        </w:rPr>
      </w:pPr>
      <w:bookmarkStart w:id="5" w:name="_Toc109127494"/>
      <w:r w:rsidRPr="005A3F27">
        <w:rPr>
          <w:noProof/>
        </w:rPr>
        <w:lastRenderedPageBreak/>
        <w:t>Introduction</w:t>
      </w:r>
      <w:bookmarkEnd w:id="5"/>
    </w:p>
    <w:p w14:paraId="348C46C1" w14:textId="72D2C93D" w:rsidR="00516617" w:rsidRPr="005A3F27" w:rsidRDefault="00516617" w:rsidP="00E9465E">
      <w:pPr>
        <w:pStyle w:val="Heading2"/>
      </w:pPr>
      <w:bookmarkStart w:id="6" w:name="_Toc109127495"/>
      <w:r w:rsidRPr="005A3F27">
        <w:t>This Green Bond Framework Document</w:t>
      </w:r>
      <w:bookmarkEnd w:id="6"/>
    </w:p>
    <w:p w14:paraId="07D79BC7" w14:textId="49DD31DE" w:rsidR="000A17D3" w:rsidRPr="005A3F27" w:rsidRDefault="00516617" w:rsidP="000C3A41">
      <w:r w:rsidRPr="005A3F27">
        <w:t xml:space="preserve">This document is the Green Bond Framework (“the </w:t>
      </w:r>
      <w:r w:rsidRPr="005A3F27">
        <w:rPr>
          <w:b/>
          <w:bCs/>
        </w:rPr>
        <w:t>Framework</w:t>
      </w:r>
      <w:r w:rsidRPr="005A3F27">
        <w:t xml:space="preserve">”) of </w:t>
      </w:r>
      <w:r w:rsidR="004973A8">
        <w:t xml:space="preserve">ARMSWISSBANK </w:t>
      </w:r>
      <w:r w:rsidRPr="005A3F27">
        <w:t>(“</w:t>
      </w:r>
      <w:r w:rsidRPr="005A3F27">
        <w:rPr>
          <w:b/>
          <w:bCs/>
        </w:rPr>
        <w:t>The Bank</w:t>
      </w:r>
      <w:r w:rsidRPr="005A3F27">
        <w:t>”)</w:t>
      </w:r>
      <w:r w:rsidR="00DD3110" w:rsidRPr="005A3F27">
        <w:t xml:space="preserve"> with</w:t>
      </w:r>
      <w:r w:rsidR="00D34DC9" w:rsidRPr="005A3F27">
        <w:t xml:space="preserve"> potential </w:t>
      </w:r>
      <w:r w:rsidR="00F54F32" w:rsidRPr="005A3F27">
        <w:t>provision</w:t>
      </w:r>
      <w:r w:rsidR="00D34DC9" w:rsidRPr="005A3F27">
        <w:t xml:space="preserve"> to issuing also social</w:t>
      </w:r>
      <w:r w:rsidR="00CA7A96" w:rsidRPr="005A3F27">
        <w:t>,</w:t>
      </w:r>
      <w:r w:rsidR="00D34DC9" w:rsidRPr="005A3F27">
        <w:t xml:space="preserve"> sustainable</w:t>
      </w:r>
      <w:r w:rsidR="00CA7A96" w:rsidRPr="005A3F27">
        <w:t xml:space="preserve"> or other thematic</w:t>
      </w:r>
      <w:r w:rsidR="00D34DC9" w:rsidRPr="005A3F27">
        <w:t xml:space="preserve"> bonds</w:t>
      </w:r>
      <w:r w:rsidR="00772802" w:rsidRPr="005A3F27">
        <w:t xml:space="preserve"> (as they may apply to the needs of Armenia at bot</w:t>
      </w:r>
      <w:r w:rsidR="00B2112A" w:rsidRPr="005A3F27">
        <w:t>h private and public sector level)</w:t>
      </w:r>
      <w:r w:rsidRPr="005A3F27">
        <w:t xml:space="preserve">. </w:t>
      </w:r>
    </w:p>
    <w:p w14:paraId="048331EF" w14:textId="30C3DD9A" w:rsidR="00516617" w:rsidRPr="005A3F27" w:rsidRDefault="00516617" w:rsidP="000C3A41">
      <w:r w:rsidRPr="005A3F27">
        <w:t xml:space="preserve">The Framework has been drafted in accordance with the </w:t>
      </w:r>
      <w:r w:rsidRPr="005A3F27">
        <w:rPr>
          <w:b/>
          <w:bCs/>
        </w:rPr>
        <w:t>International Capital Market Association</w:t>
      </w:r>
      <w:r w:rsidRPr="005A3F27">
        <w:t xml:space="preserve"> (“ICMA”) </w:t>
      </w:r>
      <w:r w:rsidRPr="005A3F27">
        <w:rPr>
          <w:b/>
          <w:bCs/>
        </w:rPr>
        <w:t>Green Bond Principles</w:t>
      </w:r>
      <w:r w:rsidRPr="005A3F27">
        <w:t xml:space="preserve"> as published in 2021 (“GBP”), Social Bond Principles as published by ICMA in June 2021 (“SBP”) and the Sustainability Bond Guidelines as published in June 2021 (“SBG”)</w:t>
      </w:r>
      <w:r w:rsidR="00EA31E4" w:rsidRPr="005A3F27">
        <w:t xml:space="preserve">, and reporting can be linked to the </w:t>
      </w:r>
      <w:r w:rsidR="00B45F82" w:rsidRPr="005A3F27">
        <w:t>ICMA Handbook Harmonised Framework for Impact Reporting published in June 2021</w:t>
      </w:r>
      <w:r w:rsidRPr="005A3F27">
        <w:t>. It also is in line with the Green Loan Principles as published by LMA</w:t>
      </w:r>
      <w:r w:rsidR="00F54F32" w:rsidRPr="005A3F27">
        <w:rPr>
          <w:rStyle w:val="FootnoteReference"/>
        </w:rPr>
        <w:footnoteReference w:id="1"/>
      </w:r>
      <w:r w:rsidRPr="005A3F27">
        <w:t xml:space="preserve"> in February 2021 (“GLP”) together referred to as “</w:t>
      </w:r>
      <w:r w:rsidRPr="005A3F27">
        <w:rPr>
          <w:b/>
          <w:bCs/>
        </w:rPr>
        <w:t>Principles</w:t>
      </w:r>
      <w:r w:rsidRPr="005A3F27">
        <w:t xml:space="preserve">” and will be verified through a second party opinion by </w:t>
      </w:r>
      <w:r w:rsidR="004973A8">
        <w:t xml:space="preserve">an </w:t>
      </w:r>
      <w:r w:rsidRPr="005A3F27">
        <w:t>“</w:t>
      </w:r>
      <w:r w:rsidRPr="00F71479">
        <w:t>SPO</w:t>
      </w:r>
      <w:r w:rsidR="004973A8">
        <w:t xml:space="preserve"> provider</w:t>
      </w:r>
      <w:r w:rsidRPr="00F71479">
        <w:t>”</w:t>
      </w:r>
      <w:r w:rsidR="004973A8">
        <w:t xml:space="preserve"> to be chosen through a competitive procedure</w:t>
      </w:r>
      <w:r w:rsidRPr="005A3F27">
        <w:t xml:space="preserve">. </w:t>
      </w:r>
    </w:p>
    <w:p w14:paraId="381F4CCE" w14:textId="25859059" w:rsidR="00516617" w:rsidRPr="005A3F27" w:rsidRDefault="00516617" w:rsidP="00516617">
      <w:r w:rsidRPr="005A3F27">
        <w:t xml:space="preserve">The Framework may be applied by the </w:t>
      </w:r>
      <w:r w:rsidR="000A17D3" w:rsidRPr="005A3F27">
        <w:rPr>
          <w:b/>
          <w:bCs/>
        </w:rPr>
        <w:t>Bank</w:t>
      </w:r>
      <w:r w:rsidR="000A17D3" w:rsidRPr="005A3F27">
        <w:t xml:space="preserve"> </w:t>
      </w:r>
      <w:r w:rsidRPr="005A3F27">
        <w:t xml:space="preserve">where the </w:t>
      </w:r>
      <w:r w:rsidR="000A17D3" w:rsidRPr="005A3F27">
        <w:rPr>
          <w:b/>
          <w:bCs/>
        </w:rPr>
        <w:t>Bank</w:t>
      </w:r>
      <w:r w:rsidR="000A17D3" w:rsidRPr="005A3F27">
        <w:t xml:space="preserve"> </w:t>
      </w:r>
      <w:r w:rsidRPr="005A3F27">
        <w:t>intends to issue either Green Bonds or Sustainability Bonds (together referred to as “</w:t>
      </w:r>
      <w:r w:rsidRPr="005A3F27">
        <w:rPr>
          <w:b/>
          <w:bCs/>
        </w:rPr>
        <w:t>Sustainable Bonds</w:t>
      </w:r>
      <w:r w:rsidRPr="005A3F27">
        <w:t>”) and to transact in a Sustainable and/or Green Loan (together and including Sustainability Loans defined hereunder referred to as “Sustainable Loans”) as defined by the ICMA and LMA documents referred to above.</w:t>
      </w:r>
    </w:p>
    <w:p w14:paraId="566369E4" w14:textId="66C7A733" w:rsidR="00516617" w:rsidRPr="005A3F27" w:rsidRDefault="00516617" w:rsidP="00E9465E">
      <w:r w:rsidRPr="005A3F27">
        <w:t>This document provides a description of Green and Sustainable financing in Armenia and the National ND</w:t>
      </w:r>
      <w:r w:rsidRPr="00311B6C">
        <w:t xml:space="preserve">C (the Context), the </w:t>
      </w:r>
      <w:r w:rsidRPr="00311B6C">
        <w:rPr>
          <w:b/>
          <w:bCs/>
        </w:rPr>
        <w:t>Impact and sustainability strategy of the Bank</w:t>
      </w:r>
      <w:r w:rsidRPr="00311B6C">
        <w:t xml:space="preserve"> and</w:t>
      </w:r>
      <w:r w:rsidRPr="005A3F27">
        <w:t xml:space="preserve"> the Green Bond Framework (including eligibility criteria and reporting requirements). </w:t>
      </w:r>
    </w:p>
    <w:p w14:paraId="253746DF" w14:textId="41AEE2D6" w:rsidR="00592DF8" w:rsidRDefault="004973A8" w:rsidP="00B40058">
      <w:pPr>
        <w:pStyle w:val="Heading2"/>
      </w:pPr>
      <w:bookmarkStart w:id="7" w:name="_Toc105066478"/>
      <w:bookmarkStart w:id="8" w:name="_Toc105066479"/>
      <w:bookmarkStart w:id="9" w:name="_Toc105066480"/>
      <w:bookmarkStart w:id="10" w:name="_Toc105066481"/>
      <w:bookmarkStart w:id="11" w:name="_Toc105066482"/>
      <w:bookmarkStart w:id="12" w:name="_Toc105066483"/>
      <w:bookmarkStart w:id="13" w:name="_Toc105066484"/>
      <w:bookmarkStart w:id="14" w:name="_Toc105066485"/>
      <w:bookmarkStart w:id="15" w:name="_Toc105066486"/>
      <w:bookmarkStart w:id="16" w:name="_Toc105066487"/>
      <w:bookmarkStart w:id="17" w:name="_Toc105066488"/>
      <w:bookmarkStart w:id="18" w:name="_Toc105066489"/>
      <w:bookmarkStart w:id="19" w:name="_Toc105066490"/>
      <w:bookmarkStart w:id="20" w:name="_Toc105066491"/>
      <w:bookmarkStart w:id="21" w:name="_Toc105066492"/>
      <w:bookmarkStart w:id="22" w:name="_Toc105066493"/>
      <w:bookmarkStart w:id="23" w:name="_Toc105066494"/>
      <w:bookmarkStart w:id="24" w:name="_Toc105066495"/>
      <w:bookmarkStart w:id="25" w:name="_Toc105066496"/>
      <w:bookmarkStart w:id="26" w:name="_Toc105066497"/>
      <w:bookmarkStart w:id="27" w:name="_Toc105066498"/>
      <w:bookmarkStart w:id="28" w:name="_Toc105066499"/>
      <w:bookmarkStart w:id="29" w:name="_Toc105066500"/>
      <w:bookmarkStart w:id="30" w:name="_Toc105066501"/>
      <w:bookmarkStart w:id="31" w:name="_Toc105066502"/>
      <w:bookmarkStart w:id="32" w:name="_Toc105066503"/>
      <w:bookmarkStart w:id="33" w:name="_Toc105066504"/>
      <w:bookmarkStart w:id="34" w:name="_Toc109127496"/>
      <w:bookmarkStart w:id="35" w:name="_Toc104922155"/>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t>ARMSWISSBANK</w:t>
      </w:r>
      <w:bookmarkEnd w:id="34"/>
      <w:r w:rsidR="009861AE" w:rsidRPr="005A3F27">
        <w:t xml:space="preserve"> </w:t>
      </w:r>
    </w:p>
    <w:p w14:paraId="109AD39C" w14:textId="60987C58" w:rsidR="00A05D78" w:rsidRDefault="00A05D78" w:rsidP="00A05D78">
      <w:pPr>
        <w:ind w:left="3" w:firstLine="1"/>
        <w:rPr>
          <w:lang w:val="en-US"/>
        </w:rPr>
      </w:pPr>
      <w:r w:rsidRPr="00CD7116">
        <w:rPr>
          <w:lang w:val="en-US"/>
        </w:rPr>
        <w:t>«ARMSWISSBANK» CJSC (</w:t>
      </w:r>
      <w:r w:rsidR="004973A8">
        <w:rPr>
          <w:lang w:val="en-US"/>
        </w:rPr>
        <w:t>“</w:t>
      </w:r>
      <w:r w:rsidRPr="00CD7116">
        <w:rPr>
          <w:lang w:val="en-US"/>
        </w:rPr>
        <w:t>Bank</w:t>
      </w:r>
      <w:r w:rsidR="004973A8">
        <w:rPr>
          <w:lang w:val="en-US"/>
        </w:rPr>
        <w:t>”</w:t>
      </w:r>
      <w:r w:rsidRPr="00CD7116">
        <w:rPr>
          <w:lang w:val="en-US"/>
        </w:rPr>
        <w:t>)</w:t>
      </w:r>
      <w:r w:rsidR="004973A8">
        <w:rPr>
          <w:lang w:val="en-US"/>
        </w:rPr>
        <w:t xml:space="preserve"> </w:t>
      </w:r>
      <w:r w:rsidRPr="00CD7116">
        <w:rPr>
          <w:lang w:val="en-US"/>
        </w:rPr>
        <w:t xml:space="preserve">is a corporate and investment bank, which </w:t>
      </w:r>
      <w:r w:rsidR="004973A8">
        <w:rPr>
          <w:lang w:val="en-US"/>
        </w:rPr>
        <w:t xml:space="preserve">has been </w:t>
      </w:r>
      <w:r w:rsidRPr="00CD7116">
        <w:rPr>
          <w:lang w:val="en-US"/>
        </w:rPr>
        <w:t>operat</w:t>
      </w:r>
      <w:r w:rsidR="004973A8">
        <w:rPr>
          <w:lang w:val="en-US"/>
        </w:rPr>
        <w:t>ing</w:t>
      </w:r>
      <w:r w:rsidRPr="00CD7116">
        <w:rPr>
          <w:lang w:val="en-US"/>
        </w:rPr>
        <w:t xml:space="preserve"> in Armenia </w:t>
      </w:r>
      <w:r w:rsidR="004973A8">
        <w:rPr>
          <w:lang w:val="en-US"/>
        </w:rPr>
        <w:t xml:space="preserve">since </w:t>
      </w:r>
      <w:r w:rsidRPr="00CD7116">
        <w:rPr>
          <w:lang w:val="en-US"/>
        </w:rPr>
        <w:t xml:space="preserve">2005. </w:t>
      </w:r>
      <w:r w:rsidR="004973A8">
        <w:rPr>
          <w:lang w:val="en-US"/>
        </w:rPr>
        <w:t>The Bank</w:t>
      </w:r>
      <w:r w:rsidRPr="00CD7116">
        <w:rPr>
          <w:lang w:val="en-US"/>
        </w:rPr>
        <w:t xml:space="preserve"> specializes in corporate and investment banking and offers its clients both traditional and alternative financing solutions designed to match their specific needs best. The mission of ARMSWISSBANK is to provide customers with innovative and advanced banking services accepted in international markets through skilled and professional staff by giving of time and resources, adhering to </w:t>
      </w:r>
      <w:r w:rsidR="004973A8">
        <w:rPr>
          <w:lang w:val="en-US"/>
        </w:rPr>
        <w:t xml:space="preserve">the </w:t>
      </w:r>
      <w:r w:rsidRPr="00CD7116">
        <w:rPr>
          <w:lang w:val="en-US"/>
        </w:rPr>
        <w:t>Bank's commitment of social responsibility and its mission of providing sustainable financing.</w:t>
      </w:r>
    </w:p>
    <w:p w14:paraId="36844408" w14:textId="45A05B50" w:rsidR="00E57BAD" w:rsidRPr="00CD7116" w:rsidRDefault="004973A8" w:rsidP="00A05D78">
      <w:pPr>
        <w:ind w:left="3" w:firstLine="1"/>
        <w:rPr>
          <w:lang w:val="en-US"/>
        </w:rPr>
      </w:pPr>
      <w:r>
        <w:rPr>
          <w:lang w:val="en-US"/>
        </w:rPr>
        <w:t>The v</w:t>
      </w:r>
      <w:r w:rsidR="00E57BAD">
        <w:rPr>
          <w:lang w:val="en-US"/>
        </w:rPr>
        <w:t xml:space="preserve">ision of the Bank </w:t>
      </w:r>
      <w:r w:rsidR="00E57BAD" w:rsidRPr="00E57BAD">
        <w:rPr>
          <w:lang w:val="en-US"/>
        </w:rPr>
        <w:t>is to be the leading corporate and investment Bank in the Republic of Armenia, by being the clients’ best choice through offering an integrated, flexible and distinctive bundle of banking services and sustainable financing.</w:t>
      </w:r>
    </w:p>
    <w:p w14:paraId="2E25C611" w14:textId="77777777" w:rsidR="006F2A43" w:rsidRPr="00A05D78" w:rsidRDefault="006F2A43" w:rsidP="003C1DEC">
      <w:pPr>
        <w:rPr>
          <w:sz w:val="4"/>
          <w:szCs w:val="6"/>
          <w:lang w:val="en-US"/>
        </w:rPr>
      </w:pPr>
    </w:p>
    <w:p w14:paraId="30F5E0F8" w14:textId="4A5444C6" w:rsidR="00B40058" w:rsidRDefault="004973A8" w:rsidP="00B40058">
      <w:pPr>
        <w:pStyle w:val="Heading2"/>
      </w:pPr>
      <w:bookmarkStart w:id="36" w:name="_Toc109127497"/>
      <w:r>
        <w:t>ARMSWISSBANK</w:t>
      </w:r>
      <w:r w:rsidR="0044666A">
        <w:t xml:space="preserve"> </w:t>
      </w:r>
      <w:r w:rsidR="00B40058" w:rsidRPr="005A3F27">
        <w:t>Impact and Sustainability Strategy and Climate Change Policy Framework</w:t>
      </w:r>
      <w:bookmarkEnd w:id="35"/>
      <w:bookmarkEnd w:id="36"/>
    </w:p>
    <w:p w14:paraId="23138494" w14:textId="0BF4D72F" w:rsidR="00CD7116" w:rsidRPr="00CD7116" w:rsidRDefault="00CD7116" w:rsidP="00CD7116">
      <w:pPr>
        <w:rPr>
          <w:lang w:val="en-US"/>
        </w:rPr>
      </w:pPr>
      <w:r w:rsidRPr="00CD7116">
        <w:rPr>
          <w:lang w:val="en-US"/>
        </w:rPr>
        <w:t xml:space="preserve">ARMSWISSBANK, as one of </w:t>
      </w:r>
      <w:r w:rsidR="00E516F7">
        <w:rPr>
          <w:lang w:val="en-US"/>
        </w:rPr>
        <w:t xml:space="preserve">the </w:t>
      </w:r>
      <w:r w:rsidRPr="00CD7116">
        <w:rPr>
          <w:lang w:val="en-US"/>
        </w:rPr>
        <w:t xml:space="preserve">leading financial institutions in Armenia, acknowledges its role and responsibility for mitigation and adaptation to climate change. Being a socially responsible </w:t>
      </w:r>
      <w:r w:rsidRPr="00CD7116">
        <w:rPr>
          <w:lang w:val="en-US"/>
        </w:rPr>
        <w:lastRenderedPageBreak/>
        <w:t xml:space="preserve">organization, the Bank is committed to play </w:t>
      </w:r>
      <w:r w:rsidR="00E516F7">
        <w:rPr>
          <w:lang w:val="en-US"/>
        </w:rPr>
        <w:t xml:space="preserve">an </w:t>
      </w:r>
      <w:r w:rsidRPr="00CD7116">
        <w:rPr>
          <w:lang w:val="en-US"/>
        </w:rPr>
        <w:t xml:space="preserve">advancing role in promoting Armenia’s transition towards a sustainable future. </w:t>
      </w:r>
    </w:p>
    <w:p w14:paraId="3ED1D671" w14:textId="0F70B6A5" w:rsidR="00CD7116" w:rsidRPr="00CD7116" w:rsidRDefault="00CD7116" w:rsidP="00CD7116">
      <w:pPr>
        <w:rPr>
          <w:lang w:val="en-US"/>
        </w:rPr>
      </w:pPr>
      <w:r w:rsidRPr="00CD7116">
        <w:rPr>
          <w:lang w:val="en-US"/>
        </w:rPr>
        <w:t xml:space="preserve">Financial resources and sound investments are needed to address climate change, to both reduce </w:t>
      </w:r>
      <w:r w:rsidR="00E516F7">
        <w:rPr>
          <w:lang w:val="en-US"/>
        </w:rPr>
        <w:t xml:space="preserve">greenhouse gas (GHG) </w:t>
      </w:r>
      <w:r w:rsidRPr="00CD7116">
        <w:rPr>
          <w:lang w:val="en-US"/>
        </w:rPr>
        <w:t>emissions, promote adaptation to the impacts that are already occurring, and to build resilience. According to the UN’s Intergovernmental Panel on Climate Change (“IPCC”), anthropogenic processes have already caused approximately 1.0°C of global warming above pre-industrial levels, with a high likelihood to reach 1.5°C in the coming decades. The threats created by climate change will exacerbate existing risks and cause new risks to emerge for both human and natural systems.</w:t>
      </w:r>
    </w:p>
    <w:p w14:paraId="131C7B21" w14:textId="60F1A783" w:rsidR="00CD7116" w:rsidRPr="00CD7116" w:rsidRDefault="00CD7116" w:rsidP="00CD7116">
      <w:pPr>
        <w:rPr>
          <w:lang w:val="en-US"/>
        </w:rPr>
      </w:pPr>
      <w:r w:rsidRPr="00CD7116">
        <w:rPr>
          <w:lang w:val="en-US"/>
        </w:rPr>
        <w:t>ARMSWISSBANK is committed to becom</w:t>
      </w:r>
      <w:r w:rsidR="00E516F7">
        <w:rPr>
          <w:lang w:val="en-US"/>
        </w:rPr>
        <w:t>ing</w:t>
      </w:r>
      <w:r w:rsidRPr="00CD7116">
        <w:rPr>
          <w:lang w:val="en-US"/>
        </w:rPr>
        <w:t xml:space="preserve"> one of leading regional green banks. For achieving this target, the Bank develops relevant banking processes and products tailored for its clients as well as permanently increases internal human capacity. Positive and sustainable economic development of Armenia is one of crucial points considered during investment and lending decisions of the Bank. Appropriate impact assessment procedures are integral parts of investment feasibility analyzes. </w:t>
      </w:r>
    </w:p>
    <w:p w14:paraId="46AC5ECE" w14:textId="3C715A68" w:rsidR="00CD7116" w:rsidRPr="00CD7116" w:rsidRDefault="00CD7116" w:rsidP="00CD7116">
      <w:pPr>
        <w:rPr>
          <w:lang w:val="en-US"/>
        </w:rPr>
      </w:pPr>
      <w:r w:rsidRPr="00CD7116">
        <w:rPr>
          <w:lang w:val="en-US"/>
        </w:rPr>
        <w:t>Since 2007</w:t>
      </w:r>
      <w:r w:rsidR="00E516F7">
        <w:rPr>
          <w:lang w:val="en-US"/>
        </w:rPr>
        <w:t>,</w:t>
      </w:r>
      <w:r w:rsidRPr="00CD7116">
        <w:rPr>
          <w:lang w:val="en-US"/>
        </w:rPr>
        <w:t xml:space="preserve"> ARMSWISSBANK </w:t>
      </w:r>
      <w:r w:rsidR="00E516F7">
        <w:rPr>
          <w:lang w:val="en-US"/>
        </w:rPr>
        <w:t xml:space="preserve">has </w:t>
      </w:r>
      <w:r w:rsidRPr="00CD7116">
        <w:rPr>
          <w:lang w:val="en-US"/>
        </w:rPr>
        <w:t xml:space="preserve">financed more than USD 100 million </w:t>
      </w:r>
      <w:r w:rsidR="00E516F7">
        <w:rPr>
          <w:lang w:val="en-US"/>
        </w:rPr>
        <w:t xml:space="preserve">in </w:t>
      </w:r>
      <w:r w:rsidRPr="00CD7116">
        <w:rPr>
          <w:lang w:val="en-US"/>
        </w:rPr>
        <w:t xml:space="preserve">green and sustainable projects, including projects in </w:t>
      </w:r>
      <w:r w:rsidR="00E516F7">
        <w:rPr>
          <w:lang w:val="en-US"/>
        </w:rPr>
        <w:t>the r</w:t>
      </w:r>
      <w:r w:rsidRPr="00CD7116">
        <w:rPr>
          <w:lang w:val="en-US"/>
        </w:rPr>
        <w:t>enewable energy and energy efficien</w:t>
      </w:r>
      <w:r w:rsidR="00E516F7">
        <w:rPr>
          <w:lang w:val="en-US"/>
        </w:rPr>
        <w:t>cy</w:t>
      </w:r>
      <w:r w:rsidRPr="00CD7116">
        <w:rPr>
          <w:lang w:val="en-US"/>
        </w:rPr>
        <w:t xml:space="preserve"> sectors, as well as in smart agriculture sectors. Cooperation with Multilateral Development</w:t>
      </w:r>
      <w:r w:rsidR="00E516F7">
        <w:rPr>
          <w:lang w:val="en-US"/>
        </w:rPr>
        <w:t xml:space="preserve"> </w:t>
      </w:r>
      <w:r w:rsidRPr="00CD7116">
        <w:rPr>
          <w:lang w:val="en-US"/>
        </w:rPr>
        <w:t>Organizations (</w:t>
      </w:r>
      <w:r w:rsidR="00E516F7">
        <w:rPr>
          <w:lang w:val="en-US"/>
        </w:rPr>
        <w:t xml:space="preserve">predominantly Multilateral Development Banks - </w:t>
      </w:r>
      <w:r w:rsidRPr="00CD7116">
        <w:rPr>
          <w:lang w:val="en-US"/>
        </w:rPr>
        <w:t xml:space="preserve">MDB) is </w:t>
      </w:r>
      <w:r w:rsidR="00E516F7">
        <w:rPr>
          <w:lang w:val="en-US"/>
        </w:rPr>
        <w:t xml:space="preserve">a </w:t>
      </w:r>
      <w:r w:rsidRPr="00CD7116">
        <w:rPr>
          <w:lang w:val="en-US"/>
        </w:rPr>
        <w:t xml:space="preserve">strategic direction for ARMSWISSBANK. The Bank </w:t>
      </w:r>
      <w:r w:rsidR="00E516F7">
        <w:rPr>
          <w:lang w:val="en-US"/>
        </w:rPr>
        <w:t xml:space="preserve">has </w:t>
      </w:r>
      <w:r w:rsidRPr="00CD7116">
        <w:rPr>
          <w:lang w:val="en-US"/>
        </w:rPr>
        <w:t>successfully developed and expanded cooperation in the area of sustainable finance with such organizations, as, European Bank for Reconstruction and Development (EBRD), Asian Development Bank (ADB), Eurasian Development Bank (EDB), responsAbility Investments AG, KfW Bank, European Investment Bank</w:t>
      </w:r>
      <w:r w:rsidR="00F71479">
        <w:rPr>
          <w:lang w:val="en-US"/>
        </w:rPr>
        <w:t xml:space="preserve"> </w:t>
      </w:r>
      <w:r w:rsidRPr="00CD7116">
        <w:rPr>
          <w:lang w:val="en-US"/>
        </w:rPr>
        <w:t xml:space="preserve">(EIB), etc. Starting from 2020 ARMSWISSBANK </w:t>
      </w:r>
      <w:r w:rsidR="00E516F7">
        <w:rPr>
          <w:lang w:val="en-US"/>
        </w:rPr>
        <w:t xml:space="preserve">has </w:t>
      </w:r>
      <w:r w:rsidRPr="00CD7116">
        <w:rPr>
          <w:lang w:val="en-US"/>
        </w:rPr>
        <w:t>manage</w:t>
      </w:r>
      <w:r w:rsidR="00E516F7">
        <w:rPr>
          <w:lang w:val="en-US"/>
        </w:rPr>
        <w:t>d</w:t>
      </w:r>
      <w:r w:rsidRPr="00CD7116">
        <w:rPr>
          <w:lang w:val="en-US"/>
        </w:rPr>
        <w:t xml:space="preserve"> (as delivery partner) </w:t>
      </w:r>
      <w:r w:rsidR="00E516F7">
        <w:rPr>
          <w:lang w:val="en-US"/>
        </w:rPr>
        <w:t>the “</w:t>
      </w:r>
      <w:r w:rsidRPr="00CD7116">
        <w:rPr>
          <w:lang w:val="en-US"/>
        </w:rPr>
        <w:t>Scaling up green finance practices in Armenia</w:t>
      </w:r>
      <w:r w:rsidR="00E516F7">
        <w:rPr>
          <w:lang w:val="en-US"/>
        </w:rPr>
        <w:t>”</w:t>
      </w:r>
      <w:r w:rsidRPr="00CD7116">
        <w:rPr>
          <w:lang w:val="en-US"/>
        </w:rPr>
        <w:t xml:space="preserve"> readiness program funded by Green Climate Fund. </w:t>
      </w:r>
    </w:p>
    <w:p w14:paraId="5DBDD90E" w14:textId="281118AC" w:rsidR="00CD7116" w:rsidRPr="00CD7116" w:rsidRDefault="00CD7116" w:rsidP="00CD7116">
      <w:pPr>
        <w:rPr>
          <w:lang w:val="en-US"/>
        </w:rPr>
      </w:pPr>
      <w:r w:rsidRPr="00CD7116">
        <w:rPr>
          <w:lang w:val="en-US"/>
        </w:rPr>
        <w:t>Sustainability, environmental and social risk management policies are well embedded into the Bank</w:t>
      </w:r>
      <w:r w:rsidR="00E516F7">
        <w:rPr>
          <w:lang w:val="en-US"/>
        </w:rPr>
        <w:t>’</w:t>
      </w:r>
      <w:r w:rsidRPr="00CD7116">
        <w:rPr>
          <w:lang w:val="en-US"/>
        </w:rPr>
        <w:t xml:space="preserve">s business processes to exclude excessive negative environmental and social impacts, which may arise from provided financial services. ARMSWISSBANK follows internationally accepted Environmental and Social Standards, thus balancing social, environmental, and economic factors. </w:t>
      </w:r>
    </w:p>
    <w:p w14:paraId="2E153DC6" w14:textId="27C205C5" w:rsidR="00CD7116" w:rsidRPr="00CD7116" w:rsidRDefault="00CD7116" w:rsidP="00CD7116">
      <w:pPr>
        <w:rPr>
          <w:lang w:val="en-US"/>
        </w:rPr>
      </w:pPr>
      <w:r w:rsidRPr="00CD7116">
        <w:rPr>
          <w:lang w:val="en-US"/>
        </w:rPr>
        <w:t xml:space="preserve">Before </w:t>
      </w:r>
      <w:r w:rsidR="00E516F7">
        <w:rPr>
          <w:lang w:val="en-US"/>
        </w:rPr>
        <w:t xml:space="preserve">providing </w:t>
      </w:r>
      <w:r w:rsidRPr="00CD7116">
        <w:rPr>
          <w:lang w:val="en-US"/>
        </w:rPr>
        <w:t xml:space="preserve">resources under this Framework, the Bank would apply institutional environmental, social and governance filters. Specifically, the Bank either </w:t>
      </w:r>
    </w:p>
    <w:p w14:paraId="7FEF9C42" w14:textId="11963535" w:rsidR="00CD7116" w:rsidRPr="00CD7116" w:rsidRDefault="00CD7116" w:rsidP="00CD7116">
      <w:pPr>
        <w:rPr>
          <w:lang w:val="en-US"/>
        </w:rPr>
      </w:pPr>
      <w:r w:rsidRPr="00CD7116">
        <w:rPr>
          <w:lang w:val="en-US"/>
        </w:rPr>
        <w:t>(i)</w:t>
      </w:r>
      <w:r w:rsidRPr="00CD7116">
        <w:rPr>
          <w:lang w:val="en-US"/>
        </w:rPr>
        <w:tab/>
      </w:r>
      <w:r w:rsidR="00F71479">
        <w:rPr>
          <w:lang w:val="en-US"/>
        </w:rPr>
        <w:t xml:space="preserve"> </w:t>
      </w:r>
      <w:r w:rsidRPr="00CD7116">
        <w:rPr>
          <w:lang w:val="en-US"/>
        </w:rPr>
        <w:t xml:space="preserve">assigns an environmental and/ or social responsibility rating (this will be replaced by an ESG score in time) to each Investee based on a proprietary social responsibility rating methodology or </w:t>
      </w:r>
    </w:p>
    <w:p w14:paraId="264A8D2F" w14:textId="4FBE3713" w:rsidR="00CD7116" w:rsidRPr="00CD7116" w:rsidRDefault="00CD7116" w:rsidP="00CD7116">
      <w:pPr>
        <w:rPr>
          <w:lang w:val="en-US"/>
        </w:rPr>
      </w:pPr>
      <w:r w:rsidRPr="00CD7116">
        <w:rPr>
          <w:lang w:val="en-US"/>
        </w:rPr>
        <w:t>(ii)</w:t>
      </w:r>
      <w:r w:rsidR="00F71479">
        <w:rPr>
          <w:lang w:val="en-US"/>
        </w:rPr>
        <w:t xml:space="preserve"> </w:t>
      </w:r>
      <w:r w:rsidRPr="00CD7116">
        <w:rPr>
          <w:lang w:val="en-US"/>
        </w:rPr>
        <w:tab/>
        <w:t>may in specific circumstances such as in case of loan participations rely on such analysis being performed by a suitable third party or such as the lender of record under loan participations.</w:t>
      </w:r>
    </w:p>
    <w:p w14:paraId="31152C2E" w14:textId="1AD2C06B" w:rsidR="00CD7116" w:rsidRDefault="00CD7116" w:rsidP="00CD7116">
      <w:pPr>
        <w:rPr>
          <w:lang w:val="en-US"/>
        </w:rPr>
      </w:pPr>
      <w:r w:rsidRPr="00CD7116">
        <w:rPr>
          <w:lang w:val="en-US"/>
        </w:rPr>
        <w:t xml:space="preserve">ARMSWISSBANK has strong commitments to climate change mitigation and sustainable development. </w:t>
      </w:r>
      <w:r w:rsidR="00E516F7">
        <w:rPr>
          <w:lang w:val="en-US"/>
        </w:rPr>
        <w:t xml:space="preserve">A </w:t>
      </w:r>
      <w:r w:rsidRPr="00CD7116">
        <w:rPr>
          <w:lang w:val="en-US"/>
        </w:rPr>
        <w:t xml:space="preserve">Sustainability </w:t>
      </w:r>
      <w:r w:rsidR="00E516F7">
        <w:rPr>
          <w:lang w:val="en-US"/>
        </w:rPr>
        <w:t>S</w:t>
      </w:r>
      <w:r w:rsidRPr="00CD7116">
        <w:rPr>
          <w:lang w:val="en-US"/>
        </w:rPr>
        <w:t xml:space="preserve">trategy was adopted by the Bank for </w:t>
      </w:r>
      <w:r w:rsidR="00E516F7">
        <w:rPr>
          <w:lang w:val="en-US"/>
        </w:rPr>
        <w:t xml:space="preserve">these </w:t>
      </w:r>
      <w:r w:rsidRPr="00CD7116">
        <w:rPr>
          <w:lang w:val="en-US"/>
        </w:rPr>
        <w:t xml:space="preserve">goals. As a result, the Bank provides </w:t>
      </w:r>
      <w:r w:rsidR="00E516F7">
        <w:rPr>
          <w:lang w:val="en-US"/>
        </w:rPr>
        <w:t xml:space="preserve">the </w:t>
      </w:r>
      <w:r w:rsidRPr="00CD7116">
        <w:rPr>
          <w:lang w:val="en-US"/>
        </w:rPr>
        <w:t>opportunity to its clients to earn financial returns and at the same time create value for the environment and society.</w:t>
      </w:r>
    </w:p>
    <w:p w14:paraId="222C9AFF" w14:textId="2442DF1D" w:rsidR="00885AD7" w:rsidRDefault="00885AD7" w:rsidP="00CD7116">
      <w:pPr>
        <w:rPr>
          <w:lang w:val="en-US"/>
        </w:rPr>
      </w:pPr>
    </w:p>
    <w:p w14:paraId="34761109" w14:textId="74BB5421" w:rsidR="00885AD7" w:rsidRDefault="00885AD7" w:rsidP="00CD7116">
      <w:pPr>
        <w:rPr>
          <w:lang w:val="en-US"/>
        </w:rPr>
      </w:pPr>
    </w:p>
    <w:p w14:paraId="51977C1C" w14:textId="77777777" w:rsidR="00885AD7" w:rsidRPr="00CD7116" w:rsidRDefault="00885AD7" w:rsidP="00CD7116">
      <w:pPr>
        <w:rPr>
          <w:lang w:val="en-US"/>
        </w:rPr>
      </w:pPr>
    </w:p>
    <w:p w14:paraId="0F77A1D2" w14:textId="2CF959EC" w:rsidR="00B40058" w:rsidRPr="005A3F27" w:rsidRDefault="00B40058" w:rsidP="00BB407F">
      <w:pPr>
        <w:pStyle w:val="Heading1"/>
        <w:pBdr>
          <w:bottom w:val="single" w:sz="4" w:space="5" w:color="929292" w:themeColor="text1" w:themeTint="A6"/>
        </w:pBdr>
      </w:pPr>
      <w:bookmarkStart w:id="37" w:name="_Toc104922156"/>
      <w:bookmarkStart w:id="38" w:name="_Toc109127498"/>
      <w:r w:rsidRPr="005A3F27">
        <w:lastRenderedPageBreak/>
        <w:t xml:space="preserve">Green Bond Framework </w:t>
      </w:r>
      <w:bookmarkEnd w:id="37"/>
      <w:r w:rsidR="005A3F27">
        <w:t xml:space="preserve">- </w:t>
      </w:r>
      <w:r w:rsidR="004973A8">
        <w:t>ARMSWISSBANK</w:t>
      </w:r>
      <w:bookmarkEnd w:id="38"/>
    </w:p>
    <w:p w14:paraId="58859874" w14:textId="0B3093E3" w:rsidR="00B40058" w:rsidRPr="005A3F27" w:rsidRDefault="00B40058" w:rsidP="00B40058">
      <w:pPr>
        <w:pStyle w:val="Heading2"/>
      </w:pPr>
      <w:bookmarkStart w:id="39" w:name="_Toc104922157"/>
      <w:bookmarkStart w:id="40" w:name="_Toc109127499"/>
      <w:r w:rsidRPr="005A3F27">
        <w:t>Green Bond Framework</w:t>
      </w:r>
      <w:bookmarkEnd w:id="39"/>
      <w:bookmarkEnd w:id="40"/>
    </w:p>
    <w:p w14:paraId="183671E2" w14:textId="36EAAD57" w:rsidR="00B40058" w:rsidRPr="005A3F27" w:rsidRDefault="00B40058" w:rsidP="00B40058">
      <w:r w:rsidRPr="005A3F27">
        <w:rPr>
          <w:b/>
          <w:bCs/>
        </w:rPr>
        <w:t xml:space="preserve">The </w:t>
      </w:r>
      <w:r w:rsidR="005A3F27" w:rsidRPr="005A3F27">
        <w:rPr>
          <w:b/>
          <w:bCs/>
        </w:rPr>
        <w:t>Bank’s</w:t>
      </w:r>
      <w:r w:rsidRPr="005A3F27">
        <w:t xml:space="preserve"> Green Bond Framework is aligned with the ICMA Green Bond Principles and is set out below in terms of their four key components, i.e.  use of proceeds, process for project evaluation and selection, management of proceeds, and reporting.</w:t>
      </w:r>
    </w:p>
    <w:p w14:paraId="1A9D64CF" w14:textId="77777777" w:rsidR="009D47CB" w:rsidRPr="005A3F27" w:rsidRDefault="009D47CB" w:rsidP="009D47CB">
      <w:r w:rsidRPr="005A3F27">
        <w:t>The Bank is considering issuing Green Bonds under this Framework, as described herein. Based on the core components of ICMA’s Green Bond Principles, the Bank Green Bond Framework will be further elaborated in the following sections and chapters:</w:t>
      </w:r>
    </w:p>
    <w:p w14:paraId="23312554" w14:textId="77777777" w:rsidR="009D47CB" w:rsidRPr="005A3F27" w:rsidRDefault="009D47CB" w:rsidP="003E4B57">
      <w:pPr>
        <w:numPr>
          <w:ilvl w:val="0"/>
          <w:numId w:val="6"/>
        </w:numPr>
      </w:pPr>
      <w:r w:rsidRPr="005A3F27">
        <w:rPr>
          <w:b/>
          <w:bCs/>
        </w:rPr>
        <w:t>Use of Proceeds</w:t>
      </w:r>
      <w:r w:rsidRPr="005A3F27">
        <w:t xml:space="preserve"> – the list of Eligible Green Assets, by reference to the relevant banking products, in the form of project categories, asset type and specifics as well as descriptions of eligibility criteria of each project.</w:t>
      </w:r>
    </w:p>
    <w:p w14:paraId="2F71CFF9" w14:textId="77777777" w:rsidR="009D47CB" w:rsidRPr="005A3F27" w:rsidRDefault="009D47CB" w:rsidP="003E4B57">
      <w:pPr>
        <w:numPr>
          <w:ilvl w:val="0"/>
          <w:numId w:val="6"/>
        </w:numPr>
      </w:pPr>
      <w:r w:rsidRPr="005A3F27">
        <w:rPr>
          <w:b/>
          <w:bCs/>
        </w:rPr>
        <w:t>Project Evaluation and Selection Process</w:t>
      </w:r>
      <w:r w:rsidRPr="005A3F27">
        <w:t xml:space="preserve"> – a core process used to document and maintain a decision-making process to determine the Eligible Green Assets.</w:t>
      </w:r>
    </w:p>
    <w:p w14:paraId="3C444FBC" w14:textId="77777777" w:rsidR="009D47CB" w:rsidRPr="005A3F27" w:rsidRDefault="009D47CB" w:rsidP="003E4B57">
      <w:pPr>
        <w:numPr>
          <w:ilvl w:val="0"/>
          <w:numId w:val="6"/>
        </w:numPr>
      </w:pPr>
      <w:r w:rsidRPr="005A3F27">
        <w:rPr>
          <w:b/>
          <w:bCs/>
        </w:rPr>
        <w:t>Management of Proceeds</w:t>
      </w:r>
      <w:r w:rsidRPr="005A3F27">
        <w:t xml:space="preserve"> – documentation and disclosure of the systems, policies and processes used for the management of the underlying assets.</w:t>
      </w:r>
    </w:p>
    <w:p w14:paraId="23B3B5B1" w14:textId="77777777" w:rsidR="009D47CB" w:rsidRPr="005A3F27" w:rsidRDefault="009D47CB" w:rsidP="003E4B57">
      <w:pPr>
        <w:numPr>
          <w:ilvl w:val="0"/>
          <w:numId w:val="6"/>
        </w:numPr>
      </w:pPr>
      <w:r w:rsidRPr="005A3F27">
        <w:rPr>
          <w:b/>
          <w:bCs/>
        </w:rPr>
        <w:t>Reporting</w:t>
      </w:r>
      <w:r w:rsidRPr="005A3F27">
        <w:t xml:space="preserve"> - Annual Green Bond Report consisting of both allocation and impact metrics.</w:t>
      </w:r>
    </w:p>
    <w:p w14:paraId="404E0B56" w14:textId="77777777" w:rsidR="009D47CB" w:rsidRPr="005A3F27" w:rsidRDefault="009D47CB" w:rsidP="003E4B57">
      <w:pPr>
        <w:numPr>
          <w:ilvl w:val="0"/>
          <w:numId w:val="6"/>
        </w:numPr>
      </w:pPr>
      <w:r w:rsidRPr="005A3F27">
        <w:rPr>
          <w:b/>
          <w:bCs/>
        </w:rPr>
        <w:t>External Review</w:t>
      </w:r>
      <w:r w:rsidRPr="005A3F27">
        <w:t xml:space="preserve"> – a second party opinion to confirm the validity of the Bank Green Bond Framework.</w:t>
      </w:r>
    </w:p>
    <w:p w14:paraId="1A42FFC8" w14:textId="546263BE" w:rsidR="00C1690C" w:rsidRPr="005A3F27" w:rsidRDefault="00B40058" w:rsidP="00D002AC">
      <w:r w:rsidRPr="005A3F27">
        <w:t xml:space="preserve">For each bond which is issued under this Framework, </w:t>
      </w:r>
      <w:r w:rsidRPr="005A3F27">
        <w:rPr>
          <w:b/>
          <w:bCs/>
        </w:rPr>
        <w:t xml:space="preserve">the </w:t>
      </w:r>
      <w:r w:rsidR="005A3F27" w:rsidRPr="005A3F27">
        <w:rPr>
          <w:b/>
          <w:bCs/>
        </w:rPr>
        <w:t>Bank</w:t>
      </w:r>
      <w:r w:rsidR="005A3F27">
        <w:t xml:space="preserve"> </w:t>
      </w:r>
      <w:r w:rsidRPr="005A3F27">
        <w:t>will designate such bond as either a Sustainability Bond, Social Bond</w:t>
      </w:r>
      <w:r w:rsidR="0050638A" w:rsidRPr="005A3F27">
        <w:t xml:space="preserve">, </w:t>
      </w:r>
      <w:r w:rsidRPr="005A3F27">
        <w:t>Green Bond</w:t>
      </w:r>
      <w:r w:rsidR="0050638A" w:rsidRPr="005A3F27">
        <w:t xml:space="preserve"> or thematic bonds</w:t>
      </w:r>
      <w:r w:rsidRPr="005A3F27">
        <w:t xml:space="preserve"> (as applicable). The proceeds of a Green Bond are allocated to an underlying Green Loan, the proceeds of a Social Bond are allocated to an underlying Social Loan, and the proceeds of a Sustainability Bond are allocated to a Sustainability Loan.</w:t>
      </w:r>
      <w:r w:rsidR="0050638A" w:rsidRPr="005A3F27">
        <w:t xml:space="preserve"> Other typologies of thematic bonds exist including SDG bond which fund innovative projects aligned to making a positive contribution to achieving the SDGs and </w:t>
      </w:r>
      <w:r w:rsidR="00EA31E4" w:rsidRPr="005A3F27">
        <w:t xml:space="preserve">Climate </w:t>
      </w:r>
      <w:r w:rsidR="0050638A" w:rsidRPr="005A3F27">
        <w:t>Resilience bonds which raise capital specifically for climate resilient investment</w:t>
      </w:r>
      <w:r w:rsidR="00EA31E4" w:rsidRPr="005A3F27">
        <w:t xml:space="preserve"> as done so by the EBRD in 2019</w:t>
      </w:r>
      <w:r w:rsidR="00EA31E4" w:rsidRPr="005A3F27">
        <w:rPr>
          <w:rStyle w:val="FootnoteReference"/>
        </w:rPr>
        <w:footnoteReference w:id="2"/>
      </w:r>
      <w:r w:rsidR="0050638A" w:rsidRPr="005A3F27">
        <w:t xml:space="preserve">. </w:t>
      </w:r>
      <w:r w:rsidRPr="005A3F27">
        <w:t xml:space="preserve">Further, the proceeds of </w:t>
      </w:r>
      <w:r w:rsidR="0050638A" w:rsidRPr="005A3F27">
        <w:t>various</w:t>
      </w:r>
      <w:r w:rsidRPr="005A3F27">
        <w:t xml:space="preserve"> Bond</w:t>
      </w:r>
      <w:r w:rsidR="0050638A" w:rsidRPr="005A3F27">
        <w:t>s</w:t>
      </w:r>
      <w:r w:rsidRPr="005A3F27">
        <w:t xml:space="preserve"> may also be allocated to several underlying loans, as per the below table:</w:t>
      </w:r>
    </w:p>
    <w:tbl>
      <w:tblPr>
        <w:tblStyle w:val="TableGrid"/>
        <w:tblW w:w="0" w:type="auto"/>
        <w:tblInd w:w="479" w:type="dxa"/>
        <w:tblLook w:val="04A0" w:firstRow="1" w:lastRow="0" w:firstColumn="1" w:lastColumn="0" w:noHBand="0" w:noVBand="1"/>
      </w:tblPr>
      <w:tblGrid>
        <w:gridCol w:w="2367"/>
        <w:gridCol w:w="6890"/>
      </w:tblGrid>
      <w:tr w:rsidR="00B40058" w:rsidRPr="005A3F27" w14:paraId="18BE4D3B" w14:textId="77777777" w:rsidTr="00E728CC">
        <w:tc>
          <w:tcPr>
            <w:tcW w:w="0" w:type="auto"/>
            <w:shd w:val="clear" w:color="auto" w:fill="D1EAE1" w:themeFill="accent2" w:themeFillTint="66"/>
          </w:tcPr>
          <w:p w14:paraId="6BC75702" w14:textId="77777777" w:rsidR="00B40058" w:rsidRPr="00E728CC" w:rsidRDefault="00B40058" w:rsidP="00B40058">
            <w:pPr>
              <w:rPr>
                <w:b/>
                <w:bCs/>
              </w:rPr>
            </w:pPr>
            <w:r w:rsidRPr="00E728CC">
              <w:rPr>
                <w:b/>
                <w:bCs/>
              </w:rPr>
              <w:t>Bond type</w:t>
            </w:r>
          </w:p>
        </w:tc>
        <w:tc>
          <w:tcPr>
            <w:tcW w:w="0" w:type="auto"/>
            <w:shd w:val="clear" w:color="auto" w:fill="D1EAE1" w:themeFill="accent2" w:themeFillTint="66"/>
          </w:tcPr>
          <w:p w14:paraId="5961D1E6" w14:textId="77777777" w:rsidR="00B40058" w:rsidRPr="00E728CC" w:rsidRDefault="00B40058" w:rsidP="00B40058">
            <w:pPr>
              <w:rPr>
                <w:b/>
                <w:bCs/>
              </w:rPr>
            </w:pPr>
            <w:r w:rsidRPr="00E728CC">
              <w:rPr>
                <w:b/>
                <w:bCs/>
              </w:rPr>
              <w:t>Underlying Loan type</w:t>
            </w:r>
          </w:p>
        </w:tc>
      </w:tr>
      <w:tr w:rsidR="00B40058" w:rsidRPr="005A3F27" w14:paraId="28E863B9" w14:textId="77777777" w:rsidTr="00E728CC">
        <w:tc>
          <w:tcPr>
            <w:tcW w:w="0" w:type="auto"/>
          </w:tcPr>
          <w:p w14:paraId="57A5A0C1" w14:textId="77777777" w:rsidR="00B40058" w:rsidRPr="005A3F27" w:rsidRDefault="00B40058" w:rsidP="00B40058">
            <w:r w:rsidRPr="005A3F27">
              <w:t>Green Bond</w:t>
            </w:r>
          </w:p>
        </w:tc>
        <w:tc>
          <w:tcPr>
            <w:tcW w:w="0" w:type="auto"/>
          </w:tcPr>
          <w:p w14:paraId="08150188" w14:textId="77777777" w:rsidR="00B40058" w:rsidRPr="005A3F27" w:rsidRDefault="00B40058" w:rsidP="00B40058">
            <w:r w:rsidRPr="005A3F27">
              <w:t>One Green Loan, or several Green Loans</w:t>
            </w:r>
          </w:p>
        </w:tc>
      </w:tr>
      <w:tr w:rsidR="00B40058" w:rsidRPr="005A3F27" w14:paraId="419ECEB1" w14:textId="77777777" w:rsidTr="00E728CC">
        <w:tc>
          <w:tcPr>
            <w:tcW w:w="0" w:type="auto"/>
          </w:tcPr>
          <w:p w14:paraId="76467537" w14:textId="77777777" w:rsidR="00B40058" w:rsidRPr="005A3F27" w:rsidRDefault="00B40058" w:rsidP="00B40058">
            <w:r w:rsidRPr="005A3F27">
              <w:t>Social Bond</w:t>
            </w:r>
          </w:p>
        </w:tc>
        <w:tc>
          <w:tcPr>
            <w:tcW w:w="0" w:type="auto"/>
          </w:tcPr>
          <w:p w14:paraId="080BA3FD" w14:textId="77777777" w:rsidR="00B40058" w:rsidRPr="005A3F27" w:rsidRDefault="00B40058" w:rsidP="00B40058">
            <w:r w:rsidRPr="005A3F27">
              <w:t>One Social Loan, or several Social Loans</w:t>
            </w:r>
          </w:p>
        </w:tc>
      </w:tr>
      <w:tr w:rsidR="00B40058" w:rsidRPr="005A3F27" w14:paraId="2893987B" w14:textId="77777777" w:rsidTr="00E728CC">
        <w:tc>
          <w:tcPr>
            <w:tcW w:w="0" w:type="auto"/>
          </w:tcPr>
          <w:p w14:paraId="046C3578" w14:textId="77777777" w:rsidR="00B40058" w:rsidRPr="005A3F27" w:rsidRDefault="00B40058" w:rsidP="00B40058">
            <w:r w:rsidRPr="005A3F27">
              <w:t>Sustainability Bond</w:t>
            </w:r>
          </w:p>
        </w:tc>
        <w:tc>
          <w:tcPr>
            <w:tcW w:w="0" w:type="auto"/>
          </w:tcPr>
          <w:p w14:paraId="464BF5EA" w14:textId="77777777" w:rsidR="00B40058" w:rsidRPr="005A3F27" w:rsidRDefault="00B40058" w:rsidP="00B40058">
            <w:r w:rsidRPr="005A3F27">
              <w:t>One Sustainability Loan, or several Sustainability Loans, or a</w:t>
            </w:r>
          </w:p>
          <w:p w14:paraId="6B25EA1F" w14:textId="77777777" w:rsidR="00B40058" w:rsidRPr="005A3F27" w:rsidRDefault="00B40058" w:rsidP="00B40058">
            <w:r w:rsidRPr="005A3F27">
              <w:t>combination of Green Loans and Social Loans</w:t>
            </w:r>
          </w:p>
        </w:tc>
      </w:tr>
      <w:tr w:rsidR="0050638A" w:rsidRPr="005A3F27" w14:paraId="299864F8" w14:textId="77777777" w:rsidTr="00E728CC">
        <w:tc>
          <w:tcPr>
            <w:tcW w:w="0" w:type="auto"/>
          </w:tcPr>
          <w:p w14:paraId="12D39A83" w14:textId="44CA5353" w:rsidR="0050638A" w:rsidRPr="005A3F27" w:rsidRDefault="0050638A" w:rsidP="00B40058">
            <w:r w:rsidRPr="005A3F27">
              <w:t>SDG Bond</w:t>
            </w:r>
          </w:p>
        </w:tc>
        <w:tc>
          <w:tcPr>
            <w:tcW w:w="0" w:type="auto"/>
          </w:tcPr>
          <w:p w14:paraId="5ADB4950" w14:textId="437A4319" w:rsidR="0050638A" w:rsidRPr="005A3F27" w:rsidRDefault="0050638A" w:rsidP="00B40058">
            <w:r w:rsidRPr="005A3F27">
              <w:t>One SDG loan, or a combination of SDG loans</w:t>
            </w:r>
          </w:p>
        </w:tc>
      </w:tr>
      <w:tr w:rsidR="0050638A" w:rsidRPr="005A3F27" w14:paraId="1DEA6493" w14:textId="77777777" w:rsidTr="00E728CC">
        <w:tc>
          <w:tcPr>
            <w:tcW w:w="0" w:type="auto"/>
          </w:tcPr>
          <w:p w14:paraId="33BE6DBD" w14:textId="3BF0BE3F" w:rsidR="0050638A" w:rsidRPr="005A3F27" w:rsidRDefault="00EA31E4" w:rsidP="00E728CC">
            <w:pPr>
              <w:jc w:val="left"/>
            </w:pPr>
            <w:r w:rsidRPr="005A3F27">
              <w:lastRenderedPageBreak/>
              <w:t xml:space="preserve">Climate </w:t>
            </w:r>
            <w:r w:rsidR="0050638A" w:rsidRPr="005A3F27">
              <w:t>Resilience Bond</w:t>
            </w:r>
          </w:p>
        </w:tc>
        <w:tc>
          <w:tcPr>
            <w:tcW w:w="0" w:type="auto"/>
          </w:tcPr>
          <w:p w14:paraId="2B84BA43" w14:textId="74C42E28" w:rsidR="0050638A" w:rsidRPr="005A3F27" w:rsidRDefault="0050638A" w:rsidP="00E728CC">
            <w:pPr>
              <w:jc w:val="left"/>
            </w:pPr>
            <w:r w:rsidRPr="005A3F27">
              <w:t xml:space="preserve">One </w:t>
            </w:r>
            <w:r w:rsidR="00EA31E4" w:rsidRPr="005A3F27">
              <w:t xml:space="preserve">Climate </w:t>
            </w:r>
            <w:r w:rsidRPr="005A3F27">
              <w:t xml:space="preserve">Resilience loan, or </w:t>
            </w:r>
            <w:r w:rsidR="00EA31E4" w:rsidRPr="005A3F27">
              <w:t>several Climate Resilience Loans</w:t>
            </w:r>
          </w:p>
        </w:tc>
      </w:tr>
      <w:tr w:rsidR="00B40058" w:rsidRPr="005A3F27" w14:paraId="71A13A42" w14:textId="77777777" w:rsidTr="00E728CC">
        <w:tc>
          <w:tcPr>
            <w:tcW w:w="0" w:type="auto"/>
          </w:tcPr>
          <w:p w14:paraId="414D6BD8" w14:textId="4386BF03" w:rsidR="00B40058" w:rsidRPr="005A3F27" w:rsidRDefault="00B40058" w:rsidP="00E728CC">
            <w:pPr>
              <w:jc w:val="left"/>
            </w:pPr>
            <w:r w:rsidRPr="005A3F27">
              <w:t>“Basket Bond”</w:t>
            </w:r>
          </w:p>
        </w:tc>
        <w:tc>
          <w:tcPr>
            <w:tcW w:w="0" w:type="auto"/>
          </w:tcPr>
          <w:p w14:paraId="522F0A0B" w14:textId="77777777" w:rsidR="00B40058" w:rsidRPr="005A3F27" w:rsidRDefault="00B40058" w:rsidP="00E728CC">
            <w:pPr>
              <w:jc w:val="left"/>
            </w:pPr>
            <w:r w:rsidRPr="005A3F27">
              <w:t>a situation where the proceeds of a Bond are allocated to several underlying loans</w:t>
            </w:r>
          </w:p>
        </w:tc>
      </w:tr>
    </w:tbl>
    <w:p w14:paraId="5144F641" w14:textId="77777777" w:rsidR="00B40058" w:rsidRPr="005A3F27" w:rsidRDefault="00B40058" w:rsidP="00B40058"/>
    <w:p w14:paraId="5DA7F441" w14:textId="2EBD646E" w:rsidR="00B40058" w:rsidRPr="005A3F27" w:rsidRDefault="00B40058" w:rsidP="00B40058">
      <w:r w:rsidRPr="005A3F27">
        <w:t xml:space="preserve">Most of </w:t>
      </w:r>
      <w:r w:rsidRPr="005A3F27">
        <w:rPr>
          <w:b/>
          <w:bCs/>
        </w:rPr>
        <w:t>the Bank</w:t>
      </w:r>
      <w:r w:rsidR="005A3F27" w:rsidRPr="005A3F27">
        <w:rPr>
          <w:b/>
          <w:bCs/>
        </w:rPr>
        <w:t>’s</w:t>
      </w:r>
      <w:r w:rsidR="005A3F27">
        <w:t xml:space="preserve"> </w:t>
      </w:r>
      <w:r w:rsidRPr="005A3F27">
        <w:t>selected projects and Use of Proceed</w:t>
      </w:r>
      <w:r w:rsidR="00D002AC">
        <w:t>s</w:t>
      </w:r>
      <w:r w:rsidRPr="005A3F27">
        <w:t xml:space="preserve"> fall under either the Green Bond or Sustainability Bond as per the definition of the Green Bond Principles</w:t>
      </w:r>
      <w:r w:rsidRPr="005A3F27">
        <w:rPr>
          <w:vertAlign w:val="superscript"/>
        </w:rPr>
        <w:footnoteReference w:id="3"/>
      </w:r>
      <w:r w:rsidRPr="005A3F27">
        <w:t xml:space="preserve"> of ICMA.  </w:t>
      </w:r>
    </w:p>
    <w:p w14:paraId="0F5236E3" w14:textId="5D23E5A7" w:rsidR="00B40058" w:rsidRPr="005A3F27" w:rsidRDefault="00B40058" w:rsidP="00B40058">
      <w:r w:rsidRPr="005A3F27">
        <w:t xml:space="preserve">The </w:t>
      </w:r>
      <w:r w:rsidR="005A3F27">
        <w:t xml:space="preserve">Bank </w:t>
      </w:r>
      <w:r w:rsidRPr="005A3F27">
        <w:t>will ensure that the relevant underlying loan complies with the criteria as laid out in this Framework by:</w:t>
      </w:r>
    </w:p>
    <w:p w14:paraId="52A515A4" w14:textId="70F5F477" w:rsidR="009167C9" w:rsidRPr="005A3F27" w:rsidRDefault="00B40058" w:rsidP="003E4B57">
      <w:pPr>
        <w:pStyle w:val="ListParagraph"/>
        <w:numPr>
          <w:ilvl w:val="0"/>
          <w:numId w:val="15"/>
        </w:numPr>
      </w:pPr>
      <w:r w:rsidRPr="005A3F27">
        <w:t>Applying a use of proceeds provision in respect of the underlying loan, as further laid out in section below;</w:t>
      </w:r>
    </w:p>
    <w:p w14:paraId="4519176E" w14:textId="51DBE203" w:rsidR="009167C9" w:rsidRPr="005A3F27" w:rsidRDefault="00B40058" w:rsidP="003E4B57">
      <w:pPr>
        <w:pStyle w:val="ListParagraph"/>
        <w:numPr>
          <w:ilvl w:val="0"/>
          <w:numId w:val="15"/>
        </w:numPr>
      </w:pPr>
      <w:r w:rsidRPr="005A3F27">
        <w:t xml:space="preserve">Requiring the Bank </w:t>
      </w:r>
      <w:r w:rsidR="00D002AC">
        <w:t xml:space="preserve">(in its </w:t>
      </w:r>
      <w:r w:rsidRPr="005A3F27">
        <w:t>capacity as origination agent of the relevant underlying loan</w:t>
      </w:r>
      <w:r w:rsidR="00D002AC">
        <w:t>)</w:t>
      </w:r>
      <w:r w:rsidRPr="005A3F27">
        <w:t xml:space="preserve"> to apply its origination criteria and origination process for a Green or Sustainable Bond (as applicable), as further laid out in section (b) below; and</w:t>
      </w:r>
    </w:p>
    <w:p w14:paraId="08A7E880" w14:textId="5D9BB0E3" w:rsidR="00B40058" w:rsidRPr="005A3F27" w:rsidRDefault="00B40058" w:rsidP="003E4B57">
      <w:pPr>
        <w:pStyle w:val="ListParagraph"/>
        <w:numPr>
          <w:ilvl w:val="0"/>
          <w:numId w:val="15"/>
        </w:numPr>
      </w:pPr>
      <w:r w:rsidRPr="005A3F27">
        <w:t>Requiring the Bank (in its capacity as the monitoring agent of the underlying loan) to gather reporting indicators on a best effort basis.</w:t>
      </w:r>
    </w:p>
    <w:p w14:paraId="49C4379D" w14:textId="4D5263C0" w:rsidR="00D002AC" w:rsidRDefault="00B40058" w:rsidP="00B40058">
      <w:r w:rsidRPr="005A3F27">
        <w:t xml:space="preserve">Subject to compliance with the above, underlying loans can be </w:t>
      </w:r>
      <w:r w:rsidR="00D002AC">
        <w:t>disbursed</w:t>
      </w:r>
      <w:r w:rsidRPr="005A3F27">
        <w:t xml:space="preserve"> to</w:t>
      </w:r>
      <w:r w:rsidR="00D002AC">
        <w:t>:</w:t>
      </w:r>
    </w:p>
    <w:p w14:paraId="3E6FC30C" w14:textId="77777777" w:rsidR="00D002AC" w:rsidRDefault="00D002AC" w:rsidP="003E4B57">
      <w:pPr>
        <w:pStyle w:val="ListParagraph"/>
        <w:numPr>
          <w:ilvl w:val="0"/>
          <w:numId w:val="20"/>
        </w:numPr>
      </w:pPr>
      <w:r>
        <w:t>F</w:t>
      </w:r>
      <w:r w:rsidR="00B40058" w:rsidRPr="005A3F27">
        <w:t>inancial intermediaries</w:t>
      </w:r>
    </w:p>
    <w:p w14:paraId="004E26C1" w14:textId="6F08C48C" w:rsidR="00D002AC" w:rsidRDefault="00D002AC" w:rsidP="003E4B57">
      <w:pPr>
        <w:pStyle w:val="ListParagraph"/>
        <w:numPr>
          <w:ilvl w:val="0"/>
          <w:numId w:val="20"/>
        </w:numPr>
      </w:pPr>
      <w:r>
        <w:t>P</w:t>
      </w:r>
      <w:r w:rsidR="00B40058" w:rsidRPr="005A3F27">
        <w:t xml:space="preserve">roject finance structures or </w:t>
      </w:r>
    </w:p>
    <w:p w14:paraId="413B2F89" w14:textId="2217FC97" w:rsidR="00D002AC" w:rsidRDefault="00D002AC" w:rsidP="003E4B57">
      <w:pPr>
        <w:pStyle w:val="ListParagraph"/>
        <w:numPr>
          <w:ilvl w:val="0"/>
          <w:numId w:val="20"/>
        </w:numPr>
      </w:pPr>
      <w:r>
        <w:t>A</w:t>
      </w:r>
      <w:r w:rsidR="00B40058" w:rsidRPr="005A3F27">
        <w:t>sset-backed financings</w:t>
      </w:r>
    </w:p>
    <w:p w14:paraId="2C8F32F8" w14:textId="79F526E5" w:rsidR="00B40058" w:rsidRPr="005A3F27" w:rsidRDefault="00D002AC" w:rsidP="00D002AC">
      <w:r>
        <w:t xml:space="preserve">These </w:t>
      </w:r>
      <w:r w:rsidR="00B40058" w:rsidRPr="005A3F27">
        <w:t>can be in the form of term loans, revolving credit facilities, or other types of debt. Further, participations in loans with unilateral or multilateral development banks or reputable financial institutions whereby the underlying loan subject to the participation satisfies the above criteria is also permitted under this Framework.</w:t>
      </w:r>
    </w:p>
    <w:p w14:paraId="0CA31DFA" w14:textId="242A08BD" w:rsidR="00B40058" w:rsidRPr="005A3F27" w:rsidRDefault="00B40058" w:rsidP="00B40058">
      <w:r w:rsidRPr="005A3F27">
        <w:t xml:space="preserve">Moreover, the Bank seeks to contribute to the long-term development of sustainable and environmentally friendly solutions through financing relevant services and innovations. The Green Bonds issued by the Bank are to be in line </w:t>
      </w:r>
      <w:r w:rsidRPr="00F0404A">
        <w:t>with the UN Sustainable Development Goals (SDGs) and infrastructure,</w:t>
      </w:r>
      <w:r w:rsidR="00561BC2" w:rsidRPr="00F0404A">
        <w:t xml:space="preserve"> SDGs 6 Clean Water and sanitation, SDG 7 Affordable and Clean Energy, and 8 Decent Work and Economic Growth, </w:t>
      </w:r>
      <w:r w:rsidRPr="00F0404A">
        <w:t>SDG11 Sustainable Cities and Communities, and SDG13 Climate Action.</w:t>
      </w:r>
      <w:r w:rsidRPr="005A3F27">
        <w:t xml:space="preserve"> </w:t>
      </w:r>
    </w:p>
    <w:p w14:paraId="68C1B70A" w14:textId="77777777" w:rsidR="00B40058" w:rsidRPr="005A3F27" w:rsidRDefault="00B40058" w:rsidP="00B40058">
      <w:r w:rsidRPr="005A3F27">
        <w:t>The loans and investments eligible to be funded by the Green Bond (and other future or sustainable financing) proceeds are defined within this Framework.</w:t>
      </w:r>
    </w:p>
    <w:p w14:paraId="50547876" w14:textId="1DB2CA1E" w:rsidR="00B40058" w:rsidRPr="005A3F27" w:rsidRDefault="00B40058" w:rsidP="00B40058">
      <w:r w:rsidRPr="005A3F27">
        <w:t>This Framework provides a unified methodology for all green financing, meaning that for each Green Finance Instrument – including but not limited to project bonds, securitized bonds, loans (syndicated, bilateral etc.) – issued in the future, the above core components will be adopted in accordance with this Framework together with the specific requirements of a credit facility to be utilized.</w:t>
      </w:r>
    </w:p>
    <w:p w14:paraId="3490C185" w14:textId="0595CCAD" w:rsidR="00B40058" w:rsidRPr="005A3F27" w:rsidRDefault="004B1415" w:rsidP="00B40058">
      <w:pPr>
        <w:pStyle w:val="Heading1"/>
      </w:pPr>
      <w:bookmarkStart w:id="41" w:name="_Toc109127500"/>
      <w:r w:rsidRPr="005A3F27">
        <w:lastRenderedPageBreak/>
        <w:t>Use of Proceeds</w:t>
      </w:r>
      <w:bookmarkEnd w:id="41"/>
    </w:p>
    <w:p w14:paraId="247932D9" w14:textId="036BD305" w:rsidR="004B1415" w:rsidRPr="005A3F27" w:rsidRDefault="004B1415" w:rsidP="0011738F">
      <w:pPr>
        <w:pStyle w:val="Heading2"/>
      </w:pPr>
      <w:bookmarkStart w:id="42" w:name="_Toc109127501"/>
      <w:r w:rsidRPr="005A3F27">
        <w:t>Eligibility Principles</w:t>
      </w:r>
      <w:bookmarkEnd w:id="42"/>
    </w:p>
    <w:p w14:paraId="58A06C32" w14:textId="77777777" w:rsidR="004B1415" w:rsidRPr="005A3F27" w:rsidRDefault="004B1415" w:rsidP="004B1415">
      <w:r w:rsidRPr="005A3F27">
        <w:t>Each underlying loan to which this Framework applies shall have a use of proceeds provision, whereby the proceeds of such loan are used by the Borrower thereunder solely to (re)finance Eligible Projects, as further laid out in this section.</w:t>
      </w:r>
    </w:p>
    <w:p w14:paraId="1D63B14D" w14:textId="188B6291" w:rsidR="004B1415" w:rsidRPr="005A3F27" w:rsidRDefault="004B1415" w:rsidP="004B1415">
      <w:r w:rsidRPr="005A3F27">
        <w:t>A distinction is made between Eligible Green Projects and Eligible Social Projects (together defined as “Eligible Projects”).</w:t>
      </w:r>
    </w:p>
    <w:p w14:paraId="1495A979" w14:textId="36511E1B" w:rsidR="004B1415" w:rsidRPr="005A3F27" w:rsidRDefault="004B1415" w:rsidP="004B1415">
      <w:r w:rsidRPr="005A3F27">
        <w:t>Eligible Projects (for refinancing) may include existing loans that have been outstanding for no more than 3 years as of the date of the specific bond issuance. A longer backward-looking period may be applied on a case-by-case basis, if the circumstances allow for this.</w:t>
      </w:r>
    </w:p>
    <w:p w14:paraId="4C9339E8" w14:textId="714C23DB" w:rsidR="004B1415" w:rsidRPr="005A3F27" w:rsidRDefault="004B1415" w:rsidP="004B1415">
      <w:r w:rsidRPr="005A3F27">
        <w:t>Under this Framework, the Bank may grant 3 types of loans</w:t>
      </w:r>
      <w:r w:rsidR="00FB23BE" w:rsidRPr="005A3F27">
        <w:t xml:space="preserve"> (focusing first on Green Bond and Loan)</w:t>
      </w:r>
      <w:r w:rsidRPr="005A3F27">
        <w:t>:</w:t>
      </w:r>
    </w:p>
    <w:p w14:paraId="472166E7" w14:textId="77777777" w:rsidR="004B1415" w:rsidRPr="005A3F27" w:rsidRDefault="004B1415" w:rsidP="003E4B57">
      <w:pPr>
        <w:numPr>
          <w:ilvl w:val="0"/>
          <w:numId w:val="11"/>
        </w:numPr>
      </w:pPr>
      <w:r w:rsidRPr="005A3F27">
        <w:rPr>
          <w:b/>
          <w:bCs/>
        </w:rPr>
        <w:t>Green Loan</w:t>
      </w:r>
      <w:r w:rsidRPr="005A3F27">
        <w:t>: means a loan where an amount equal to the net proceeds will be exclusively used to (re)finance eligible expenditures falling within the Eligible Green Projects,</w:t>
      </w:r>
    </w:p>
    <w:p w14:paraId="67757BCA" w14:textId="77777777" w:rsidR="004B1415" w:rsidRPr="005A3F27" w:rsidRDefault="004B1415" w:rsidP="003E4B57">
      <w:pPr>
        <w:numPr>
          <w:ilvl w:val="0"/>
          <w:numId w:val="11"/>
        </w:numPr>
      </w:pPr>
      <w:r w:rsidRPr="005A3F27">
        <w:rPr>
          <w:b/>
          <w:bCs/>
        </w:rPr>
        <w:t>Social Loan</w:t>
      </w:r>
      <w:r w:rsidRPr="005A3F27">
        <w:t>: means a loan where an amount equal to the net proceeds will be exclusively used to (re)finance eligible expenditures falling within the Eligible Social Projects,</w:t>
      </w:r>
    </w:p>
    <w:p w14:paraId="211AE65A" w14:textId="77777777" w:rsidR="004B1415" w:rsidRPr="005A3F27" w:rsidRDefault="004B1415" w:rsidP="003E4B57">
      <w:pPr>
        <w:numPr>
          <w:ilvl w:val="0"/>
          <w:numId w:val="11"/>
        </w:numPr>
      </w:pPr>
      <w:r w:rsidRPr="005A3F27">
        <w:rPr>
          <w:b/>
          <w:bCs/>
        </w:rPr>
        <w:t>Sustainability Loan</w:t>
      </w:r>
      <w:r w:rsidRPr="005A3F27">
        <w:t>: means a loan where an amount equal to the net proceeds will be exclusively used to (re)finance eligible expenditures falling within Eligible Green and/or Social Projects.</w:t>
      </w:r>
    </w:p>
    <w:p w14:paraId="4E7EA38D" w14:textId="7DBB3B00" w:rsidR="004B1415" w:rsidRPr="005A3F27" w:rsidRDefault="004B1415" w:rsidP="004B1415">
      <w:r w:rsidRPr="005A3F27">
        <w:t xml:space="preserve">Proceeds from </w:t>
      </w:r>
      <w:r w:rsidR="005A3F27" w:rsidRPr="005A3F27">
        <w:rPr>
          <w:b/>
          <w:bCs/>
        </w:rPr>
        <w:t>the Bank’s</w:t>
      </w:r>
      <w:r w:rsidR="005A3F27">
        <w:t xml:space="preserve"> </w:t>
      </w:r>
      <w:r w:rsidRPr="005A3F27">
        <w:t>green bond issuance will be exclusively applied to the financing or refinancing, fully or partially, of:</w:t>
      </w:r>
    </w:p>
    <w:p w14:paraId="6B552DCA" w14:textId="0EB2BB14" w:rsidR="004B1415" w:rsidRPr="005A3F27" w:rsidRDefault="004B1415" w:rsidP="00074616">
      <w:pPr>
        <w:pStyle w:val="ListParagraph"/>
      </w:pPr>
      <w:r w:rsidRPr="005A3F27">
        <w:t xml:space="preserve">Projects either within </w:t>
      </w:r>
      <w:r w:rsidRPr="00937E4A">
        <w:rPr>
          <w:b/>
          <w:bCs/>
        </w:rPr>
        <w:t xml:space="preserve">the </w:t>
      </w:r>
      <w:r w:rsidR="00937E4A" w:rsidRPr="00937E4A">
        <w:rPr>
          <w:b/>
          <w:bCs/>
        </w:rPr>
        <w:t>Bank</w:t>
      </w:r>
      <w:r w:rsidR="00937E4A">
        <w:rPr>
          <w:b/>
          <w:bCs/>
        </w:rPr>
        <w:t>’s</w:t>
      </w:r>
      <w:r w:rsidR="00937E4A">
        <w:t xml:space="preserve"> </w:t>
      </w:r>
      <w:r w:rsidRPr="005A3F27">
        <w:t xml:space="preserve">investment portfolio or future projects to be appraised by </w:t>
      </w:r>
      <w:r w:rsidR="00937E4A" w:rsidRPr="00937E4A">
        <w:rPr>
          <w:b/>
          <w:bCs/>
        </w:rPr>
        <w:t>the Bank</w:t>
      </w:r>
      <w:r w:rsidRPr="005A3F27">
        <w:t xml:space="preserve"> which meet any one of the following criteria:</w:t>
      </w:r>
    </w:p>
    <w:p w14:paraId="3DCA88DB" w14:textId="77777777" w:rsidR="004B1415" w:rsidRPr="005A3F27" w:rsidRDefault="004B1415" w:rsidP="003E4B57">
      <w:pPr>
        <w:pStyle w:val="ListParagraph"/>
        <w:numPr>
          <w:ilvl w:val="0"/>
          <w:numId w:val="12"/>
        </w:numPr>
      </w:pPr>
      <w:r w:rsidRPr="005A3F27">
        <w:t>Contribute to climate mitigation and /or adaptation in compliance with the International Development Finance Club (IDFC) methodologies</w:t>
      </w:r>
      <w:r w:rsidRPr="005A3F27">
        <w:rPr>
          <w:vertAlign w:val="superscript"/>
        </w:rPr>
        <w:t>1</w:t>
      </w:r>
      <w:r w:rsidRPr="005A3F27">
        <w:t xml:space="preserve"> for mitigation and adaptation;</w:t>
      </w:r>
    </w:p>
    <w:p w14:paraId="1DF117BF" w14:textId="6FEAB599" w:rsidR="004B1415" w:rsidRPr="005A3F27" w:rsidRDefault="004B1415" w:rsidP="003E4B57">
      <w:pPr>
        <w:pStyle w:val="ListParagraph"/>
        <w:numPr>
          <w:ilvl w:val="0"/>
          <w:numId w:val="12"/>
        </w:numPr>
      </w:pPr>
      <w:r w:rsidRPr="005A3F27">
        <w:t xml:space="preserve">Align to the </w:t>
      </w:r>
      <w:r w:rsidR="00937E4A">
        <w:t xml:space="preserve">National Development Plan (NDP) </w:t>
      </w:r>
      <w:r w:rsidRPr="005A3F27">
        <w:t xml:space="preserve">objective of an “environmentally sustainable and equitable transition to a low carbon economy” for Armenia. </w:t>
      </w:r>
    </w:p>
    <w:p w14:paraId="2C5C04F1" w14:textId="17E7A28A" w:rsidR="009205F4" w:rsidRPr="005A3F27" w:rsidRDefault="004B1415" w:rsidP="003E4B57">
      <w:pPr>
        <w:pStyle w:val="ListParagraph"/>
        <w:numPr>
          <w:ilvl w:val="0"/>
          <w:numId w:val="12"/>
        </w:numPr>
      </w:pPr>
      <w:r w:rsidRPr="005A3F27">
        <w:t>Align to the Sustainable Development Goals of the UN, in particular SDGs 6, 7, 8 and 11</w:t>
      </w:r>
      <w:r w:rsidR="00BD0E40" w:rsidRPr="005A3F27">
        <w:t>, 13</w:t>
      </w:r>
      <w:r w:rsidRPr="005A3F27">
        <w:t xml:space="preserve">; and which meet the </w:t>
      </w:r>
      <w:r w:rsidR="00A34B4E">
        <w:t>respective</w:t>
      </w:r>
      <w:r w:rsidRPr="005A3F27">
        <w:t xml:space="preserve"> ESG criteria of the Bank.</w:t>
      </w:r>
    </w:p>
    <w:p w14:paraId="4528BA3A" w14:textId="6A9EE3F3" w:rsidR="004B1415" w:rsidRPr="005A3F27" w:rsidRDefault="004B1415" w:rsidP="00E779BF">
      <w:pPr>
        <w:pStyle w:val="ListParagraph"/>
        <w:numPr>
          <w:ilvl w:val="0"/>
          <w:numId w:val="0"/>
        </w:numPr>
        <w:ind w:left="1443"/>
      </w:pPr>
    </w:p>
    <w:p w14:paraId="467D139E" w14:textId="09C79DFE" w:rsidR="004B1415" w:rsidRPr="005A3F27" w:rsidRDefault="004B1415" w:rsidP="00074616">
      <w:pPr>
        <w:pStyle w:val="ListParagraph"/>
      </w:pPr>
      <w:r w:rsidRPr="005A3F27">
        <w:t xml:space="preserve">Comply with </w:t>
      </w:r>
      <w:r w:rsidRPr="00937E4A">
        <w:rPr>
          <w:b/>
          <w:bCs/>
        </w:rPr>
        <w:t xml:space="preserve">the </w:t>
      </w:r>
      <w:r w:rsidR="00937E4A" w:rsidRPr="00937E4A">
        <w:rPr>
          <w:b/>
          <w:bCs/>
        </w:rPr>
        <w:t>Bank’s</w:t>
      </w:r>
      <w:r w:rsidR="00937E4A">
        <w:t xml:space="preserve"> </w:t>
      </w:r>
      <w:r w:rsidRPr="005A3F27">
        <w:t xml:space="preserve">Environmental and Social Safeguards Standards and environmental and social screening and appraisal criteria for </w:t>
      </w:r>
      <w:r w:rsidR="009205F4" w:rsidRPr="005A3F27">
        <w:t>greenfield</w:t>
      </w:r>
      <w:r w:rsidRPr="005A3F27">
        <w:t xml:space="preserve"> projects (as applicable);</w:t>
      </w:r>
    </w:p>
    <w:p w14:paraId="4766785A" w14:textId="77777777" w:rsidR="004B1415" w:rsidRPr="005A3F27" w:rsidRDefault="004B1415" w:rsidP="003E4B57">
      <w:pPr>
        <w:pStyle w:val="ListParagraph"/>
        <w:numPr>
          <w:ilvl w:val="0"/>
          <w:numId w:val="13"/>
        </w:numPr>
      </w:pPr>
      <w:r w:rsidRPr="005A3F27">
        <w:t xml:space="preserve">Demonstrate, quantify, and qualify positive environmental and social benefits; which will be reflected in the Bank ESG reporting, and,   </w:t>
      </w:r>
    </w:p>
    <w:p w14:paraId="4123FA60" w14:textId="0401145F" w:rsidR="004B1415" w:rsidRPr="005A3F27" w:rsidRDefault="004B1415" w:rsidP="003E4B57">
      <w:pPr>
        <w:pStyle w:val="ListParagraph"/>
        <w:numPr>
          <w:ilvl w:val="0"/>
          <w:numId w:val="13"/>
        </w:numPr>
      </w:pPr>
      <w:r w:rsidRPr="005A3F27">
        <w:t xml:space="preserve">Meet </w:t>
      </w:r>
      <w:r w:rsidR="00937E4A" w:rsidRPr="00937E4A">
        <w:rPr>
          <w:b/>
          <w:bCs/>
        </w:rPr>
        <w:t>the Bank’s</w:t>
      </w:r>
      <w:r w:rsidR="00937E4A">
        <w:t xml:space="preserve"> </w:t>
      </w:r>
      <w:r w:rsidRPr="005A3F27">
        <w:t>credit selection criteria and the approval of the relevant decision-making structure(s).</w:t>
      </w:r>
    </w:p>
    <w:p w14:paraId="1C48FB03" w14:textId="77777777" w:rsidR="004B1415" w:rsidRPr="005A3F27" w:rsidRDefault="004B1415" w:rsidP="004B1415"/>
    <w:p w14:paraId="36D2562A" w14:textId="77777777" w:rsidR="004B1415" w:rsidRPr="005A3F27" w:rsidRDefault="004B1415" w:rsidP="004B1415">
      <w:pPr>
        <w:pStyle w:val="Heading2"/>
      </w:pPr>
      <w:bookmarkStart w:id="43" w:name="_Toc104922159"/>
      <w:bookmarkStart w:id="44" w:name="_Toc109127502"/>
      <w:r w:rsidRPr="005A3F27">
        <w:t>Eligible Green Project Categories</w:t>
      </w:r>
      <w:bookmarkEnd w:id="43"/>
      <w:bookmarkEnd w:id="44"/>
    </w:p>
    <w:p w14:paraId="44DE34A4" w14:textId="25A13DF1" w:rsidR="004B1415" w:rsidRPr="005A3F27" w:rsidRDefault="004B1415" w:rsidP="00D13FAA">
      <w:r w:rsidRPr="005A3F27">
        <w:t>The projects identified as eligible for financing or refinancing through the proceeds of green bonds will fall within one or more of following project categories</w:t>
      </w:r>
      <w:r w:rsidR="00FD33D9" w:rsidRPr="005A3F27">
        <w:rPr>
          <w:rStyle w:val="FootnoteReference"/>
        </w:rPr>
        <w:footnoteReference w:id="4"/>
      </w:r>
      <w:r w:rsidRPr="005A3F27">
        <w:t>:</w:t>
      </w:r>
    </w:p>
    <w:p w14:paraId="452F93DD" w14:textId="0E36A4D4" w:rsidR="00937E4A" w:rsidRDefault="00937E4A" w:rsidP="00937E4A">
      <w:pPr>
        <w:pStyle w:val="Caption"/>
      </w:pPr>
      <w:r>
        <w:t xml:space="preserve">Table </w:t>
      </w:r>
      <w:r>
        <w:fldChar w:fldCharType="begin"/>
      </w:r>
      <w:r>
        <w:instrText xml:space="preserve"> SEQ Table \* ARABIC </w:instrText>
      </w:r>
      <w:r>
        <w:fldChar w:fldCharType="separate"/>
      </w:r>
      <w:r>
        <w:rPr>
          <w:noProof/>
        </w:rPr>
        <w:t>1</w:t>
      </w:r>
      <w:r>
        <w:fldChar w:fldCharType="end"/>
      </w:r>
      <w:r>
        <w:t xml:space="preserve">: </w:t>
      </w:r>
      <w:r w:rsidRPr="00937E4A">
        <w:t>Eligible green projects categories</w:t>
      </w:r>
      <w:r w:rsidR="00303999">
        <w:t xml:space="preserve"> as aligned with the 6 EU Taxonomy Environmental Objectives</w:t>
      </w:r>
    </w:p>
    <w:tbl>
      <w:tblPr>
        <w:tblStyle w:val="TableBlue"/>
        <w:tblW w:w="5000" w:type="pct"/>
        <w:tblLook w:val="04A0" w:firstRow="1" w:lastRow="0" w:firstColumn="1" w:lastColumn="0" w:noHBand="0" w:noVBand="1"/>
      </w:tblPr>
      <w:tblGrid>
        <w:gridCol w:w="2284"/>
        <w:gridCol w:w="7462"/>
      </w:tblGrid>
      <w:tr w:rsidR="00F350D3" w:rsidRPr="005A3F27" w14:paraId="6F5F7C18" w14:textId="77777777" w:rsidTr="00937E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2" w:type="pct"/>
          </w:tcPr>
          <w:p w14:paraId="75D37457" w14:textId="33EAFDEE" w:rsidR="00F350D3" w:rsidRPr="005A3F27" w:rsidRDefault="00F350D3" w:rsidP="00F350D3">
            <w:r w:rsidRPr="005A3F27">
              <w:rPr>
                <w:b/>
              </w:rPr>
              <w:t>Categories</w:t>
            </w:r>
          </w:p>
        </w:tc>
        <w:tc>
          <w:tcPr>
            <w:tcW w:w="3828" w:type="pct"/>
          </w:tcPr>
          <w:p w14:paraId="4C231D9F" w14:textId="591C5DF0" w:rsidR="00F350D3" w:rsidRPr="005A3F27" w:rsidRDefault="00F350D3" w:rsidP="00F350D3">
            <w:pPr>
              <w:cnfStyle w:val="100000000000" w:firstRow="1" w:lastRow="0" w:firstColumn="0" w:lastColumn="0" w:oddVBand="0" w:evenVBand="0" w:oddHBand="0" w:evenHBand="0" w:firstRowFirstColumn="0" w:firstRowLastColumn="0" w:lastRowFirstColumn="0" w:lastRowLastColumn="0"/>
            </w:pPr>
            <w:r w:rsidRPr="005A3F27">
              <w:rPr>
                <w:b/>
              </w:rPr>
              <w:t>Eligibility Criteria</w:t>
            </w:r>
          </w:p>
        </w:tc>
      </w:tr>
      <w:tr w:rsidR="00F350D3" w:rsidRPr="005A3F27" w14:paraId="61A06E40" w14:textId="77777777" w:rsidTr="00937E4A">
        <w:tc>
          <w:tcPr>
            <w:cnfStyle w:val="001000000000" w:firstRow="0" w:lastRow="0" w:firstColumn="1" w:lastColumn="0" w:oddVBand="0" w:evenVBand="0" w:oddHBand="0" w:evenHBand="0" w:firstRowFirstColumn="0" w:firstRowLastColumn="0" w:lastRowFirstColumn="0" w:lastRowLastColumn="0"/>
            <w:tcW w:w="1172" w:type="pct"/>
          </w:tcPr>
          <w:p w14:paraId="434FDEE4" w14:textId="0C1368DB" w:rsidR="00F350D3" w:rsidRPr="005A3F27" w:rsidRDefault="00393821" w:rsidP="00393821">
            <w:pPr>
              <w:jc w:val="left"/>
            </w:pPr>
            <w:r w:rsidRPr="00393821">
              <w:rPr>
                <w:b/>
              </w:rPr>
              <w:t>Climate change mitigation</w:t>
            </w:r>
            <w:r>
              <w:rPr>
                <w:b/>
              </w:rPr>
              <w:t xml:space="preserve"> - </w:t>
            </w:r>
            <w:r w:rsidR="00F350D3" w:rsidRPr="005A3F27">
              <w:rPr>
                <w:b/>
              </w:rPr>
              <w:t>Energy</w:t>
            </w:r>
          </w:p>
        </w:tc>
        <w:tc>
          <w:tcPr>
            <w:tcW w:w="3828" w:type="pct"/>
          </w:tcPr>
          <w:p w14:paraId="08E86BC0" w14:textId="77777777" w:rsidR="00F350D3" w:rsidRPr="005A3F27" w:rsidRDefault="00F350D3" w:rsidP="00F350D3">
            <w:pPr>
              <w:cnfStyle w:val="000000000000" w:firstRow="0" w:lastRow="0" w:firstColumn="0" w:lastColumn="0" w:oddVBand="0" w:evenVBand="0" w:oddHBand="0" w:evenHBand="0" w:firstRowFirstColumn="0" w:firstRowLastColumn="0" w:lastRowFirstColumn="0" w:lastRowLastColumn="0"/>
            </w:pPr>
            <w:r w:rsidRPr="005A3F27">
              <w:t>Financing the generation, distribution and/or transmission of energy from renewable energy sources including:</w:t>
            </w:r>
          </w:p>
          <w:p w14:paraId="577A4C89" w14:textId="4529982F" w:rsidR="00F350D3" w:rsidRPr="005A3F27" w:rsidRDefault="00F350D3" w:rsidP="003E4B57">
            <w:pPr>
              <w:numPr>
                <w:ilvl w:val="0"/>
                <w:numId w:val="10"/>
              </w:numPr>
              <w:cnfStyle w:val="000000000000" w:firstRow="0" w:lastRow="0" w:firstColumn="0" w:lastColumn="0" w:oddVBand="0" w:evenVBand="0" w:oddHBand="0" w:evenHBand="0" w:firstRowFirstColumn="0" w:firstRowLastColumn="0" w:lastRowFirstColumn="0" w:lastRowLastColumn="0"/>
            </w:pPr>
            <w:r w:rsidRPr="005A3F27">
              <w:t>Onshore and offshore wind energy</w:t>
            </w:r>
            <w:r w:rsidR="00AA76C5">
              <w:t xml:space="preserve"> (</w:t>
            </w:r>
            <w:r w:rsidR="00AA76C5" w:rsidRPr="00AA76C5">
              <w:t>The installed capacity utilisation rate must not be lower than 0.22</w:t>
            </w:r>
            <w:r w:rsidR="0052138C">
              <w:t xml:space="preserve"> MW</w:t>
            </w:r>
            <w:r w:rsidR="00AA76C5">
              <w:t>)</w:t>
            </w:r>
          </w:p>
          <w:p w14:paraId="09D70EEC" w14:textId="77777777" w:rsidR="00F350D3" w:rsidRPr="005A3F27" w:rsidRDefault="00F350D3" w:rsidP="003E4B57">
            <w:pPr>
              <w:numPr>
                <w:ilvl w:val="0"/>
                <w:numId w:val="10"/>
              </w:numPr>
              <w:cnfStyle w:val="000000000000" w:firstRow="0" w:lastRow="0" w:firstColumn="0" w:lastColumn="0" w:oddVBand="0" w:evenVBand="0" w:oddHBand="0" w:evenHBand="0" w:firstRowFirstColumn="0" w:firstRowLastColumn="0" w:lastRowFirstColumn="0" w:lastRowLastColumn="0"/>
            </w:pPr>
            <w:r w:rsidRPr="005A3F27">
              <w:t>Solar energy</w:t>
            </w:r>
          </w:p>
          <w:p w14:paraId="1A641D79" w14:textId="27557E44" w:rsidR="00F350D3" w:rsidRPr="005A3F27" w:rsidRDefault="00F350D3" w:rsidP="003E4B57">
            <w:pPr>
              <w:numPr>
                <w:ilvl w:val="0"/>
                <w:numId w:val="10"/>
              </w:numPr>
              <w:cnfStyle w:val="000000000000" w:firstRow="0" w:lastRow="0" w:firstColumn="0" w:lastColumn="0" w:oddVBand="0" w:evenVBand="0" w:oddHBand="0" w:evenHBand="0" w:firstRowFirstColumn="0" w:firstRowLastColumn="0" w:lastRowFirstColumn="0" w:lastRowLastColumn="0"/>
            </w:pPr>
            <w:r w:rsidRPr="005A3F27">
              <w:t>Small scale hydro energy (maximum of 20 MW in installed capacity</w:t>
            </w:r>
            <w:r w:rsidR="00AA76C5">
              <w:rPr>
                <w:lang w:val="hy-AM"/>
              </w:rPr>
              <w:t>.</w:t>
            </w:r>
            <w:r w:rsidR="00AA76C5">
              <w:t xml:space="preserve"> </w:t>
            </w:r>
            <w:r w:rsidR="00AA76C5" w:rsidRPr="00AA76C5">
              <w:rPr>
                <w:lang w:val="hy-AM"/>
              </w:rPr>
              <w:t>In the case of run-of-river hydropower plants, the installed capacity utilisation rate must not be lower than 0.25</w:t>
            </w:r>
            <w:r w:rsidR="0052138C">
              <w:t xml:space="preserve"> MW</w:t>
            </w:r>
            <w:r w:rsidRPr="005A3F27">
              <w:t>)</w:t>
            </w:r>
          </w:p>
          <w:p w14:paraId="0DCB651B" w14:textId="00AC991B" w:rsidR="00F350D3" w:rsidRPr="005A3F27" w:rsidRDefault="00F350D3" w:rsidP="003E4B57">
            <w:pPr>
              <w:numPr>
                <w:ilvl w:val="0"/>
                <w:numId w:val="10"/>
              </w:numPr>
              <w:cnfStyle w:val="000000000000" w:firstRow="0" w:lastRow="0" w:firstColumn="0" w:lastColumn="0" w:oddVBand="0" w:evenVBand="0" w:oddHBand="0" w:evenHBand="0" w:firstRowFirstColumn="0" w:firstRowLastColumn="0" w:lastRowFirstColumn="0" w:lastRowLastColumn="0"/>
            </w:pPr>
            <w:r w:rsidRPr="005A3F27">
              <w:t>Biomass (that does not compete with food production, not grown in areas of high biodiversity and in which facilities produce GHG emissions below 100g</w:t>
            </w:r>
            <w:r w:rsidR="00945D2A">
              <w:t xml:space="preserve"> </w:t>
            </w:r>
            <w:r w:rsidRPr="005A3F27">
              <w:t>CO</w:t>
            </w:r>
            <w:r w:rsidRPr="00B31A86">
              <w:rPr>
                <w:vertAlign w:val="subscript"/>
              </w:rPr>
              <w:t>2</w:t>
            </w:r>
            <w:r w:rsidRPr="005A3F27">
              <w:t>e</w:t>
            </w:r>
            <w:r w:rsidR="00B31A86">
              <w:t>q</w:t>
            </w:r>
            <w:r w:rsidRPr="005A3F27">
              <w:t>/kWh</w:t>
            </w:r>
          </w:p>
          <w:p w14:paraId="4EF26E7C" w14:textId="77777777" w:rsidR="00F350D3" w:rsidRPr="005A3F27" w:rsidRDefault="00F350D3" w:rsidP="003E4B57">
            <w:pPr>
              <w:numPr>
                <w:ilvl w:val="0"/>
                <w:numId w:val="10"/>
              </w:numPr>
              <w:cnfStyle w:val="000000000000" w:firstRow="0" w:lastRow="0" w:firstColumn="0" w:lastColumn="0" w:oddVBand="0" w:evenVBand="0" w:oddHBand="0" w:evenHBand="0" w:firstRowFirstColumn="0" w:firstRowLastColumn="0" w:lastRowFirstColumn="0" w:lastRowLastColumn="0"/>
            </w:pPr>
            <w:r w:rsidRPr="005A3F27">
              <w:t>Measures to facilitate integration of renewable energy into grids (New, expanded and improved transmission systems, smart-grid and mini-grid).</w:t>
            </w:r>
          </w:p>
          <w:p w14:paraId="4585754C" w14:textId="77777777" w:rsidR="00F350D3" w:rsidRPr="005A3F27" w:rsidRDefault="00F350D3" w:rsidP="00F350D3">
            <w:pPr>
              <w:cnfStyle w:val="000000000000" w:firstRow="0" w:lastRow="0" w:firstColumn="0" w:lastColumn="0" w:oddVBand="0" w:evenVBand="0" w:oddHBand="0" w:evenHBand="0" w:firstRowFirstColumn="0" w:firstRowLastColumn="0" w:lastRowFirstColumn="0" w:lastRowLastColumn="0"/>
            </w:pPr>
            <w:r w:rsidRPr="005A3F27">
              <w:t>Energy Efficiency including:</w:t>
            </w:r>
          </w:p>
          <w:p w14:paraId="60531384" w14:textId="60070A12" w:rsidR="00F350D3" w:rsidRDefault="00F350D3" w:rsidP="003E4B57">
            <w:pPr>
              <w:numPr>
                <w:ilvl w:val="0"/>
                <w:numId w:val="10"/>
              </w:numPr>
              <w:cnfStyle w:val="000000000000" w:firstRow="0" w:lastRow="0" w:firstColumn="0" w:lastColumn="0" w:oddVBand="0" w:evenVBand="0" w:oddHBand="0" w:evenHBand="0" w:firstRowFirstColumn="0" w:firstRowLastColumn="0" w:lastRowFirstColumn="0" w:lastRowLastColumn="0"/>
            </w:pPr>
            <w:r w:rsidRPr="005A3F27">
              <w:t xml:space="preserve">Construction </w:t>
            </w:r>
            <w:r w:rsidR="00393821">
              <w:t xml:space="preserve">or renovation </w:t>
            </w:r>
            <w:r w:rsidRPr="005A3F27">
              <w:t>of buildings</w:t>
            </w:r>
            <w:r w:rsidR="00393821">
              <w:t xml:space="preserve"> - These investments must be compliant with existing regulations for energy performance in buildings in Armenia – where applicable – and at a minimum result in reductions in energy consumption and / or greenhouse gas emissions.</w:t>
            </w:r>
          </w:p>
          <w:p w14:paraId="14AE027F" w14:textId="77777777" w:rsidR="002835CE" w:rsidRDefault="002835CE" w:rsidP="002835CE">
            <w:pPr>
              <w:pStyle w:val="ListParagraph"/>
              <w:numPr>
                <w:ilvl w:val="0"/>
                <w:numId w:val="25"/>
              </w:numPr>
              <w:cnfStyle w:val="000000000000" w:firstRow="0" w:lastRow="0" w:firstColumn="0" w:lastColumn="0" w:oddVBand="0" w:evenVBand="0" w:oddHBand="0" w:evenHBand="0" w:firstRowFirstColumn="0" w:firstRowLastColumn="0" w:lastRowFirstColumn="0" w:lastRowLastColumn="0"/>
            </w:pPr>
            <w:r>
              <w:t>Sub-projects involving the improvement of existing buildings have a performance baseline defined by the current condition of the building fabric and engineering systems. Sub-projects (excluding costs of land and existing building acquisition) are 100 per cent eligible if:</w:t>
            </w:r>
          </w:p>
          <w:p w14:paraId="5E27D277" w14:textId="7F97C4FF" w:rsidR="002835CE" w:rsidRDefault="002835CE" w:rsidP="0052138C">
            <w:pPr>
              <w:pStyle w:val="ListParagraph"/>
              <w:numPr>
                <w:ilvl w:val="0"/>
                <w:numId w:val="0"/>
              </w:numPr>
              <w:ind w:left="1467"/>
              <w:cnfStyle w:val="000000000000" w:firstRow="0" w:lastRow="0" w:firstColumn="0" w:lastColumn="0" w:oddVBand="0" w:evenVBand="0" w:oddHBand="0" w:evenHBand="0" w:firstRowFirstColumn="0" w:firstRowLastColumn="0" w:lastRowFirstColumn="0" w:lastRowLastColumn="0"/>
            </w:pPr>
            <w:r>
              <w:t xml:space="preserve">- the </w:t>
            </w:r>
            <w:r w:rsidR="0052138C">
              <w:t xml:space="preserve">energy </w:t>
            </w:r>
            <w:r>
              <w:t xml:space="preserve">performance of the building(s) is increased to the level energy efficiency </w:t>
            </w:r>
            <w:r w:rsidR="0052138C">
              <w:t xml:space="preserve">consistent with the energy performance </w:t>
            </w:r>
            <w:r>
              <w:t xml:space="preserve">certification at a minimum level of category B </w:t>
            </w:r>
            <w:r w:rsidR="0052138C">
              <w:t>or better</w:t>
            </w:r>
            <w:r w:rsidR="0052138C">
              <w:rPr>
                <w:rStyle w:val="FootnoteReference"/>
              </w:rPr>
              <w:footnoteReference w:id="5"/>
            </w:r>
            <w:r>
              <w:t>, or</w:t>
            </w:r>
          </w:p>
          <w:p w14:paraId="091A37F9" w14:textId="057AA172" w:rsidR="002835CE" w:rsidRDefault="00D218D1" w:rsidP="00D218D1">
            <w:pPr>
              <w:ind w:left="1443" w:hanging="360"/>
              <w:cnfStyle w:val="000000000000" w:firstRow="0" w:lastRow="0" w:firstColumn="0" w:lastColumn="0" w:oddVBand="0" w:evenVBand="0" w:oddHBand="0" w:evenHBand="0" w:firstRowFirstColumn="0" w:firstRowLastColumn="0" w:lastRowFirstColumn="0" w:lastRowLastColumn="0"/>
            </w:pPr>
            <w:r>
              <w:lastRenderedPageBreak/>
              <w:t xml:space="preserve">     </w:t>
            </w:r>
            <w:r w:rsidR="002835CE" w:rsidRPr="00D218D1">
              <w:t xml:space="preserve">- the energy performance of the building is improved by at least 20% </w:t>
            </w:r>
            <w:r w:rsidR="00885AD7">
              <w:t xml:space="preserve">in terms of kWh demand </w:t>
            </w:r>
            <w:r w:rsidR="002835CE" w:rsidRPr="00D218D1">
              <w:t xml:space="preserve">per </w:t>
            </w:r>
            <w:r w:rsidR="00885AD7">
              <w:t xml:space="preserve">m2 of </w:t>
            </w:r>
            <w:r w:rsidR="002835CE" w:rsidRPr="00D218D1">
              <w:t>habitable unit area.</w:t>
            </w:r>
          </w:p>
          <w:p w14:paraId="319D5B80" w14:textId="233556D2" w:rsidR="00D218D1" w:rsidRPr="00D218D1" w:rsidRDefault="00D218D1" w:rsidP="00D218D1">
            <w:pPr>
              <w:pStyle w:val="ListParagraph"/>
              <w:numPr>
                <w:ilvl w:val="0"/>
                <w:numId w:val="25"/>
              </w:numPr>
              <w:cnfStyle w:val="000000000000" w:firstRow="0" w:lastRow="0" w:firstColumn="0" w:lastColumn="0" w:oddVBand="0" w:evenVBand="0" w:oddHBand="0" w:evenHBand="0" w:firstRowFirstColumn="0" w:firstRowLastColumn="0" w:lastRowFirstColumn="0" w:lastRowLastColumn="0"/>
            </w:pPr>
            <w:r w:rsidRPr="00D218D1">
              <w:t xml:space="preserve">Sub-projects </w:t>
            </w:r>
            <w:r>
              <w:t>(</w:t>
            </w:r>
            <w:r w:rsidRPr="00D218D1">
              <w:t>(excluding costs of land and existing building acquisition)</w:t>
            </w:r>
            <w:r>
              <w:t xml:space="preserve"> </w:t>
            </w:r>
            <w:r w:rsidRPr="00D218D1">
              <w:t>involving the construction of new buildings have a performance baseline defined by national building standards. Sub-projects (excluding costs of land acquisition) may be eligible:</w:t>
            </w:r>
          </w:p>
          <w:p w14:paraId="6FB6F8F9" w14:textId="0001C6DB" w:rsidR="00D218D1" w:rsidRPr="00D218D1" w:rsidRDefault="00D218D1" w:rsidP="00D218D1">
            <w:pPr>
              <w:ind w:left="1443" w:hanging="360"/>
              <w:cnfStyle w:val="000000000000" w:firstRow="0" w:lastRow="0" w:firstColumn="0" w:lastColumn="0" w:oddVBand="0" w:evenVBand="0" w:oddHBand="0" w:evenHBand="0" w:firstRowFirstColumn="0" w:firstRowLastColumn="0" w:lastRowFirstColumn="0" w:lastRowLastColumn="0"/>
            </w:pPr>
            <w:r>
              <w:t xml:space="preserve">      - up to 100 per cent, if the building will obtain international environmental certification </w:t>
            </w:r>
            <w:r w:rsidRPr="00D218D1">
              <w:t>level of category B and above, or</w:t>
            </w:r>
          </w:p>
          <w:p w14:paraId="3A814CC1" w14:textId="568526A7" w:rsidR="002D65BC" w:rsidRDefault="00393821" w:rsidP="002D65BC">
            <w:pPr>
              <w:numPr>
                <w:ilvl w:val="0"/>
                <w:numId w:val="10"/>
              </w:numPr>
              <w:cnfStyle w:val="000000000000" w:firstRow="0" w:lastRow="0" w:firstColumn="0" w:lastColumn="0" w:oddVBand="0" w:evenVBand="0" w:oddHBand="0" w:evenHBand="0" w:firstRowFirstColumn="0" w:firstRowLastColumn="0" w:lastRowFirstColumn="0" w:lastRowLastColumn="0"/>
            </w:pPr>
            <w:r>
              <w:t xml:space="preserve">Investments in </w:t>
            </w:r>
            <w:r w:rsidRPr="005A3F27">
              <w:t>smart grids, manufacture and procurement of energy efficient equipment such as smart meters, LED lighting, etc.</w:t>
            </w:r>
            <w:r>
              <w:t xml:space="preserve"> At a minimum, these investments must result in </w:t>
            </w:r>
            <w:r w:rsidR="002D65BC" w:rsidRPr="002D65BC">
              <w:t>reduction in primary energy consumption and/or final consumption of electricity and/or fuels (either of fossil or renewable origin) and/or other forms of energy (which can be ultimately related to the use of electricity and/or fuels).</w:t>
            </w:r>
          </w:p>
          <w:p w14:paraId="6A2696E2" w14:textId="538B712A" w:rsidR="00FE4F71" w:rsidRPr="002835CE" w:rsidRDefault="00FE4F71" w:rsidP="002835CE">
            <w:pPr>
              <w:pStyle w:val="ListParagraph"/>
              <w:numPr>
                <w:ilvl w:val="0"/>
                <w:numId w:val="24"/>
              </w:numPr>
              <w:cnfStyle w:val="000000000000" w:firstRow="0" w:lastRow="0" w:firstColumn="0" w:lastColumn="0" w:oddVBand="0" w:evenVBand="0" w:oddHBand="0" w:evenHBand="0" w:firstRowFirstColumn="0" w:firstRowLastColumn="0" w:lastRowFirstColumn="0" w:lastRowLastColumn="0"/>
            </w:pPr>
            <w:r w:rsidRPr="002835CE">
              <w:t>The investment shall achieve an energy saving or GHG reduction of 20% or more compared to the baseline, as measured on an annual basis, all things being equal. If the existing national minimum requirement is greater than a 20% improvement from the baseline, the national minimum requirement will apply</w:t>
            </w:r>
          </w:p>
        </w:tc>
      </w:tr>
      <w:tr w:rsidR="00F350D3" w:rsidRPr="005A3F27" w14:paraId="69135CFE" w14:textId="77777777" w:rsidTr="00937E4A">
        <w:tc>
          <w:tcPr>
            <w:cnfStyle w:val="001000000000" w:firstRow="0" w:lastRow="0" w:firstColumn="1" w:lastColumn="0" w:oddVBand="0" w:evenVBand="0" w:oddHBand="0" w:evenHBand="0" w:firstRowFirstColumn="0" w:firstRowLastColumn="0" w:lastRowFirstColumn="0" w:lastRowLastColumn="0"/>
            <w:tcW w:w="1172" w:type="pct"/>
          </w:tcPr>
          <w:p w14:paraId="2E289900" w14:textId="6F56EFF6" w:rsidR="00F350D3" w:rsidRPr="005A3F27" w:rsidRDefault="00393821" w:rsidP="00937E4A">
            <w:pPr>
              <w:jc w:val="left"/>
            </w:pPr>
            <w:r w:rsidRPr="00393821">
              <w:rPr>
                <w:b/>
              </w:rPr>
              <w:lastRenderedPageBreak/>
              <w:t>Climate change mitigation</w:t>
            </w:r>
            <w:r>
              <w:rPr>
                <w:b/>
              </w:rPr>
              <w:t xml:space="preserve"> - </w:t>
            </w:r>
            <w:r w:rsidR="00F350D3" w:rsidRPr="005A3F27">
              <w:rPr>
                <w:b/>
              </w:rPr>
              <w:t>Low Carbon Transportation</w:t>
            </w:r>
          </w:p>
        </w:tc>
        <w:tc>
          <w:tcPr>
            <w:tcW w:w="3828" w:type="pct"/>
          </w:tcPr>
          <w:p w14:paraId="0F4B3EE9" w14:textId="128E009A" w:rsidR="00F350D3" w:rsidRPr="005A3F27" w:rsidRDefault="00F350D3" w:rsidP="00F350D3">
            <w:pPr>
              <w:cnfStyle w:val="000000000000" w:firstRow="0" w:lastRow="0" w:firstColumn="0" w:lastColumn="0" w:oddVBand="0" w:evenVBand="0" w:oddHBand="0" w:evenHBand="0" w:firstRowFirstColumn="0" w:firstRowLastColumn="0" w:lastRowFirstColumn="0" w:lastRowLastColumn="0"/>
            </w:pPr>
            <w:r w:rsidRPr="005A3F27">
              <w:t>Financing the manufacturing, acquisition</w:t>
            </w:r>
            <w:r w:rsidR="00937E4A">
              <w:t>,</w:t>
            </w:r>
            <w:r w:rsidRPr="005A3F27">
              <w:t xml:space="preserve"> and maintenance of:</w:t>
            </w:r>
          </w:p>
          <w:p w14:paraId="0B82FE9C" w14:textId="77777777" w:rsidR="00937E4A" w:rsidRPr="005A3F27" w:rsidRDefault="00937E4A" w:rsidP="003E4B57">
            <w:pPr>
              <w:numPr>
                <w:ilvl w:val="0"/>
                <w:numId w:val="9"/>
              </w:numPr>
              <w:cnfStyle w:val="000000000000" w:firstRow="0" w:lastRow="0" w:firstColumn="0" w:lastColumn="0" w:oddVBand="0" w:evenVBand="0" w:oddHBand="0" w:evenHBand="0" w:firstRowFirstColumn="0" w:firstRowLastColumn="0" w:lastRowFirstColumn="0" w:lastRowLastColumn="0"/>
            </w:pPr>
            <w:r w:rsidRPr="005A3F27">
              <w:t>Low carbon vehicles such as electric, non-motorized or any other non-fossil fuel transportation</w:t>
            </w:r>
          </w:p>
          <w:p w14:paraId="54B92B8A" w14:textId="77777777" w:rsidR="00F350D3" w:rsidRPr="005A3F27" w:rsidRDefault="00F350D3" w:rsidP="003E4B57">
            <w:pPr>
              <w:numPr>
                <w:ilvl w:val="0"/>
                <w:numId w:val="9"/>
              </w:numPr>
              <w:cnfStyle w:val="000000000000" w:firstRow="0" w:lastRow="0" w:firstColumn="0" w:lastColumn="0" w:oddVBand="0" w:evenVBand="0" w:oddHBand="0" w:evenHBand="0" w:firstRowFirstColumn="0" w:firstRowLastColumn="0" w:lastRowFirstColumn="0" w:lastRowLastColumn="0"/>
            </w:pPr>
            <w:r w:rsidRPr="005A3F27">
              <w:t>Public low carbon land transport such as electric rail, metros, and trams</w:t>
            </w:r>
          </w:p>
          <w:p w14:paraId="66827368" w14:textId="39C40273" w:rsidR="00F350D3" w:rsidRPr="00937E4A" w:rsidRDefault="00F350D3" w:rsidP="003E4B57">
            <w:pPr>
              <w:numPr>
                <w:ilvl w:val="0"/>
                <w:numId w:val="9"/>
              </w:numPr>
              <w:cnfStyle w:val="000000000000" w:firstRow="0" w:lastRow="0" w:firstColumn="0" w:lastColumn="0" w:oddVBand="0" w:evenVBand="0" w:oddHBand="0" w:evenHBand="0" w:firstRowFirstColumn="0" w:firstRowLastColumn="0" w:lastRowFirstColumn="0" w:lastRowLastColumn="0"/>
            </w:pPr>
            <w:r w:rsidRPr="005A3F27">
              <w:t>Infrastructure for clean energy vehicles and reduction of harmful</w:t>
            </w:r>
            <w:r w:rsidR="00937E4A">
              <w:t xml:space="preserve"> </w:t>
            </w:r>
            <w:r w:rsidRPr="00937E4A">
              <w:t>emissions (e.g. charging infrastructure upgrades)</w:t>
            </w:r>
          </w:p>
        </w:tc>
      </w:tr>
      <w:tr w:rsidR="00D00014" w:rsidRPr="005A3F27" w14:paraId="473962A9" w14:textId="77777777" w:rsidTr="00937E4A">
        <w:tc>
          <w:tcPr>
            <w:cnfStyle w:val="001000000000" w:firstRow="0" w:lastRow="0" w:firstColumn="1" w:lastColumn="0" w:oddVBand="0" w:evenVBand="0" w:oddHBand="0" w:evenHBand="0" w:firstRowFirstColumn="0" w:firstRowLastColumn="0" w:lastRowFirstColumn="0" w:lastRowLastColumn="0"/>
            <w:tcW w:w="1172" w:type="pct"/>
          </w:tcPr>
          <w:p w14:paraId="32144D69" w14:textId="75AFCEB0" w:rsidR="00303999" w:rsidRPr="00393821" w:rsidRDefault="00303999" w:rsidP="00393821">
            <w:pPr>
              <w:jc w:val="left"/>
              <w:rPr>
                <w:b/>
              </w:rPr>
            </w:pPr>
            <w:r>
              <w:rPr>
                <w:b/>
              </w:rPr>
              <w:t>Climate change adaptation</w:t>
            </w:r>
            <w:r w:rsidR="009E74F6">
              <w:rPr>
                <w:b/>
              </w:rPr>
              <w:t xml:space="preserve"> – Agriculture and Forestry </w:t>
            </w:r>
          </w:p>
        </w:tc>
        <w:tc>
          <w:tcPr>
            <w:tcW w:w="3828" w:type="pct"/>
          </w:tcPr>
          <w:p w14:paraId="2CA99A60" w14:textId="77777777" w:rsidR="00303999" w:rsidRDefault="00303999" w:rsidP="00937E4A">
            <w:pPr>
              <w:jc w:val="left"/>
              <w:cnfStyle w:val="000000000000" w:firstRow="0" w:lastRow="0" w:firstColumn="0" w:lastColumn="0" w:oddVBand="0" w:evenVBand="0" w:oddHBand="0" w:evenHBand="0" w:firstRowFirstColumn="0" w:firstRowLastColumn="0" w:lastRowFirstColumn="0" w:lastRowLastColumn="0"/>
            </w:pPr>
            <w:r>
              <w:t>Financing projects in the agriculture, forestry, and infrastructure sectors which reduce vulnerability to impacts from climate change and climate variability including, for example:</w:t>
            </w:r>
          </w:p>
          <w:p w14:paraId="1DE946D1" w14:textId="77777777" w:rsidR="00303999" w:rsidRDefault="00303999" w:rsidP="003E4B57">
            <w:pPr>
              <w:numPr>
                <w:ilvl w:val="0"/>
                <w:numId w:val="7"/>
              </w:numPr>
              <w:jc w:val="left"/>
              <w:cnfStyle w:val="000000000000" w:firstRow="0" w:lastRow="0" w:firstColumn="0" w:lastColumn="0" w:oddVBand="0" w:evenVBand="0" w:oddHBand="0" w:evenHBand="0" w:firstRowFirstColumn="0" w:firstRowLastColumn="0" w:lastRowFirstColumn="0" w:lastRowLastColumn="0"/>
            </w:pPr>
            <w:r w:rsidRPr="005A3F27">
              <w:t>Sustainable urban drainage systems</w:t>
            </w:r>
          </w:p>
          <w:p w14:paraId="3F423F7E" w14:textId="77777777" w:rsidR="00303999" w:rsidRDefault="00303999" w:rsidP="003E4B57">
            <w:pPr>
              <w:numPr>
                <w:ilvl w:val="0"/>
                <w:numId w:val="7"/>
              </w:numPr>
              <w:jc w:val="left"/>
              <w:cnfStyle w:val="000000000000" w:firstRow="0" w:lastRow="0" w:firstColumn="0" w:lastColumn="0" w:oddVBand="0" w:evenVBand="0" w:oddHBand="0" w:evenHBand="0" w:firstRowFirstColumn="0" w:firstRowLastColumn="0" w:lastRowFirstColumn="0" w:lastRowLastColumn="0"/>
            </w:pPr>
            <w:r w:rsidRPr="005A3F27">
              <w:t>Flood protection</w:t>
            </w:r>
            <w:r>
              <w:t xml:space="preserve"> </w:t>
            </w:r>
          </w:p>
          <w:p w14:paraId="639522C4" w14:textId="77777777" w:rsidR="00303999" w:rsidRDefault="00303999" w:rsidP="003E4B57">
            <w:pPr>
              <w:numPr>
                <w:ilvl w:val="0"/>
                <w:numId w:val="7"/>
              </w:numPr>
              <w:jc w:val="left"/>
              <w:cnfStyle w:val="000000000000" w:firstRow="0" w:lastRow="0" w:firstColumn="0" w:lastColumn="0" w:oddVBand="0" w:evenVBand="0" w:oddHBand="0" w:evenHBand="0" w:firstRowFirstColumn="0" w:firstRowLastColumn="0" w:lastRowFirstColumn="0" w:lastRowLastColumn="0"/>
            </w:pPr>
            <w:r>
              <w:t>Drought protection (e.g. irrigation or other financial products supporting resilience)</w:t>
            </w:r>
          </w:p>
          <w:p w14:paraId="4FEA88D7" w14:textId="0E8501AC" w:rsidR="00303999" w:rsidRPr="00303999" w:rsidRDefault="00303999" w:rsidP="003E4B57">
            <w:pPr>
              <w:numPr>
                <w:ilvl w:val="0"/>
                <w:numId w:val="7"/>
              </w:numPr>
              <w:jc w:val="left"/>
              <w:cnfStyle w:val="000000000000" w:firstRow="0" w:lastRow="0" w:firstColumn="0" w:lastColumn="0" w:oddVBand="0" w:evenVBand="0" w:oddHBand="0" w:evenHBand="0" w:firstRowFirstColumn="0" w:firstRowLastColumn="0" w:lastRowFirstColumn="0" w:lastRowLastColumn="0"/>
            </w:pPr>
            <w:r>
              <w:t xml:space="preserve">Planting of crops / trees to improve the water table / address climate impacts </w:t>
            </w:r>
          </w:p>
        </w:tc>
      </w:tr>
      <w:tr w:rsidR="00D00014" w:rsidRPr="005A3F27" w14:paraId="4A416A09" w14:textId="77777777" w:rsidTr="00937E4A">
        <w:tc>
          <w:tcPr>
            <w:cnfStyle w:val="001000000000" w:firstRow="0" w:lastRow="0" w:firstColumn="1" w:lastColumn="0" w:oddVBand="0" w:evenVBand="0" w:oddHBand="0" w:evenHBand="0" w:firstRowFirstColumn="0" w:firstRowLastColumn="0" w:lastRowFirstColumn="0" w:lastRowLastColumn="0"/>
            <w:tcW w:w="1172" w:type="pct"/>
          </w:tcPr>
          <w:p w14:paraId="6146E206" w14:textId="125B6CA8" w:rsidR="00303999" w:rsidRPr="005A3F27" w:rsidRDefault="00303999" w:rsidP="00937E4A">
            <w:pPr>
              <w:jc w:val="left"/>
              <w:rPr>
                <w:b/>
              </w:rPr>
            </w:pPr>
            <w:r w:rsidRPr="00303999">
              <w:rPr>
                <w:b/>
              </w:rPr>
              <w:lastRenderedPageBreak/>
              <w:t>The sustainable use and protection of water and marine resources</w:t>
            </w:r>
          </w:p>
        </w:tc>
        <w:tc>
          <w:tcPr>
            <w:tcW w:w="3828" w:type="pct"/>
          </w:tcPr>
          <w:p w14:paraId="7B2E8AE3" w14:textId="77777777" w:rsidR="00303999" w:rsidRPr="005A3F27" w:rsidRDefault="00303999" w:rsidP="00303999">
            <w:pPr>
              <w:cnfStyle w:val="000000000000" w:firstRow="0" w:lastRow="0" w:firstColumn="0" w:lastColumn="0" w:oddVBand="0" w:evenVBand="0" w:oddHBand="0" w:evenHBand="0" w:firstRowFirstColumn="0" w:firstRowLastColumn="0" w:lastRowFirstColumn="0" w:lastRowLastColumn="0"/>
            </w:pPr>
            <w:r w:rsidRPr="005A3F27">
              <w:t>Financing of the following projects:</w:t>
            </w:r>
          </w:p>
          <w:p w14:paraId="43931B94" w14:textId="753EA601" w:rsidR="00303999" w:rsidRPr="005A3F27" w:rsidRDefault="00303999" w:rsidP="003E4B57">
            <w:pPr>
              <w:numPr>
                <w:ilvl w:val="0"/>
                <w:numId w:val="7"/>
              </w:numPr>
              <w:jc w:val="left"/>
              <w:cnfStyle w:val="000000000000" w:firstRow="0" w:lastRow="0" w:firstColumn="0" w:lastColumn="0" w:oddVBand="0" w:evenVBand="0" w:oddHBand="0" w:evenHBand="0" w:firstRowFirstColumn="0" w:firstRowLastColumn="0" w:lastRowFirstColumn="0" w:lastRowLastColumn="0"/>
            </w:pPr>
            <w:r>
              <w:t>Improvements in w</w:t>
            </w:r>
            <w:r w:rsidRPr="005A3F27">
              <w:t xml:space="preserve">ater </w:t>
            </w:r>
            <w:r>
              <w:t xml:space="preserve">systems to improve the efficiency of </w:t>
            </w:r>
            <w:r w:rsidRPr="005A3F27">
              <w:t>use</w:t>
            </w:r>
            <w:r>
              <w:t xml:space="preserve"> / reduce waste</w:t>
            </w:r>
          </w:p>
          <w:p w14:paraId="58530AC4" w14:textId="77777777" w:rsidR="00303999" w:rsidRDefault="00303999" w:rsidP="003E4B57">
            <w:pPr>
              <w:numPr>
                <w:ilvl w:val="0"/>
                <w:numId w:val="7"/>
              </w:numPr>
              <w:jc w:val="left"/>
              <w:cnfStyle w:val="000000000000" w:firstRow="0" w:lastRow="0" w:firstColumn="0" w:lastColumn="0" w:oddVBand="0" w:evenVBand="0" w:oddHBand="0" w:evenHBand="0" w:firstRowFirstColumn="0" w:firstRowLastColumn="0" w:lastRowFirstColumn="0" w:lastRowLastColumn="0"/>
            </w:pPr>
            <w:r w:rsidRPr="005A3F27">
              <w:t>Wastewater treatment</w:t>
            </w:r>
          </w:p>
          <w:p w14:paraId="4E85EB58" w14:textId="77777777" w:rsidR="006234C4" w:rsidRDefault="006234C4" w:rsidP="003E4B57">
            <w:pPr>
              <w:numPr>
                <w:ilvl w:val="0"/>
                <w:numId w:val="7"/>
              </w:numPr>
              <w:jc w:val="left"/>
              <w:cnfStyle w:val="000000000000" w:firstRow="0" w:lastRow="0" w:firstColumn="0" w:lastColumn="0" w:oddVBand="0" w:evenVBand="0" w:oddHBand="0" w:evenHBand="0" w:firstRowFirstColumn="0" w:firstRowLastColumn="0" w:lastRowFirstColumn="0" w:lastRowLastColumn="0"/>
            </w:pPr>
            <w:r w:rsidRPr="005A3F27">
              <w:t>Supporting ecological infrastructure (including conservation of natural capital) and water resource management / water security, catchment management and sustainable land use management.</w:t>
            </w:r>
          </w:p>
          <w:p w14:paraId="608007D7" w14:textId="08104F52" w:rsidR="00FC1774" w:rsidRDefault="00FC1774" w:rsidP="003E4B57">
            <w:pPr>
              <w:numPr>
                <w:ilvl w:val="0"/>
                <w:numId w:val="7"/>
              </w:numPr>
              <w:jc w:val="left"/>
              <w:cnfStyle w:val="000000000000" w:firstRow="0" w:lastRow="0" w:firstColumn="0" w:lastColumn="0" w:oddVBand="0" w:evenVBand="0" w:oddHBand="0" w:evenHBand="0" w:firstRowFirstColumn="0" w:firstRowLastColumn="0" w:lastRowFirstColumn="0" w:lastRowLastColumn="0"/>
            </w:pPr>
            <w:r w:rsidRPr="00FC1774">
              <w:t>Eligible water efficiency investments</w:t>
            </w:r>
            <w:r>
              <w:t>,</w:t>
            </w:r>
            <w:r w:rsidRPr="00FC1774">
              <w:t xml:space="preserve"> includ</w:t>
            </w:r>
            <w:r>
              <w:t>ing</w:t>
            </w:r>
            <w:r w:rsidRPr="00FC1774">
              <w:t xml:space="preserve"> investments in materials, equipment, appliances</w:t>
            </w:r>
            <w:r w:rsidR="00885AD7">
              <w:t>,</w:t>
            </w:r>
            <w:r w:rsidRPr="00FC1774">
              <w:t xml:space="preserve"> and technologies that enable reduction in water consumption and/or improve water use.</w:t>
            </w:r>
          </w:p>
          <w:p w14:paraId="7759E4A8" w14:textId="107892F2" w:rsidR="00FC1774" w:rsidRPr="00FC1774" w:rsidRDefault="00FC1774" w:rsidP="00FC1774">
            <w:pPr>
              <w:pStyle w:val="ListParagraph"/>
              <w:numPr>
                <w:ilvl w:val="0"/>
                <w:numId w:val="24"/>
              </w:numPr>
              <w:jc w:val="left"/>
              <w:cnfStyle w:val="000000000000" w:firstRow="0" w:lastRow="0" w:firstColumn="0" w:lastColumn="0" w:oddVBand="0" w:evenVBand="0" w:oddHBand="0" w:evenHBand="0" w:firstRowFirstColumn="0" w:firstRowLastColumn="0" w:lastRowFirstColumn="0" w:lastRowLastColumn="0"/>
            </w:pPr>
            <w:r w:rsidRPr="00FC1774">
              <w:t>The investment shall achieve (i) a water savings of at least 20% when compared to the "Reference Water Baseline"</w:t>
            </w:r>
            <w:r>
              <w:rPr>
                <w:rStyle w:val="FootnoteReference"/>
              </w:rPr>
              <w:footnoteReference w:id="6"/>
            </w:r>
          </w:p>
        </w:tc>
      </w:tr>
      <w:tr w:rsidR="00D00014" w:rsidRPr="005A3F27" w14:paraId="270249E6" w14:textId="77777777" w:rsidTr="00065BED">
        <w:tc>
          <w:tcPr>
            <w:cnfStyle w:val="001000000000" w:firstRow="0" w:lastRow="0" w:firstColumn="1" w:lastColumn="0" w:oddVBand="0" w:evenVBand="0" w:oddHBand="0" w:evenHBand="0" w:firstRowFirstColumn="0" w:firstRowLastColumn="0" w:lastRowFirstColumn="0" w:lastRowLastColumn="0"/>
            <w:tcW w:w="1172" w:type="pct"/>
          </w:tcPr>
          <w:p w14:paraId="35A30656" w14:textId="77777777" w:rsidR="006234C4" w:rsidRPr="005A3F27" w:rsidRDefault="006234C4" w:rsidP="00065BED">
            <w:pPr>
              <w:jc w:val="left"/>
            </w:pPr>
            <w:r w:rsidRPr="00393821">
              <w:rPr>
                <w:b/>
              </w:rPr>
              <w:t>The transition to a circular economy</w:t>
            </w:r>
            <w:r>
              <w:rPr>
                <w:b/>
              </w:rPr>
              <w:t xml:space="preserve"> / w</w:t>
            </w:r>
            <w:r w:rsidRPr="005A3F27">
              <w:rPr>
                <w:b/>
              </w:rPr>
              <w:t xml:space="preserve">aste </w:t>
            </w:r>
            <w:r>
              <w:rPr>
                <w:b/>
              </w:rPr>
              <w:t>m</w:t>
            </w:r>
            <w:r w:rsidRPr="005A3F27">
              <w:rPr>
                <w:b/>
              </w:rPr>
              <w:t>anagement</w:t>
            </w:r>
          </w:p>
        </w:tc>
        <w:tc>
          <w:tcPr>
            <w:tcW w:w="3828" w:type="pct"/>
          </w:tcPr>
          <w:p w14:paraId="4A36D7E6" w14:textId="77777777" w:rsidR="006234C4" w:rsidRPr="005A3F27" w:rsidRDefault="006234C4" w:rsidP="00065BED">
            <w:pPr>
              <w:jc w:val="left"/>
              <w:cnfStyle w:val="000000000000" w:firstRow="0" w:lastRow="0" w:firstColumn="0" w:lastColumn="0" w:oddVBand="0" w:evenVBand="0" w:oddHBand="0" w:evenHBand="0" w:firstRowFirstColumn="0" w:firstRowLastColumn="0" w:lastRowFirstColumn="0" w:lastRowLastColumn="0"/>
            </w:pPr>
            <w:r w:rsidRPr="005A3F27">
              <w:t>Financing sustainable equipment, development, manufacturing, construction, operation and maintenance of:</w:t>
            </w:r>
          </w:p>
          <w:p w14:paraId="35057769" w14:textId="77777777" w:rsidR="006234C4" w:rsidRPr="005A3F27" w:rsidRDefault="006234C4" w:rsidP="003E4B57">
            <w:pPr>
              <w:numPr>
                <w:ilvl w:val="0"/>
                <w:numId w:val="8"/>
              </w:numPr>
              <w:jc w:val="left"/>
              <w:cnfStyle w:val="000000000000" w:firstRow="0" w:lastRow="0" w:firstColumn="0" w:lastColumn="0" w:oddVBand="0" w:evenVBand="0" w:oddHBand="0" w:evenHBand="0" w:firstRowFirstColumn="0" w:firstRowLastColumn="0" w:lastRowFirstColumn="0" w:lastRowLastColumn="0"/>
            </w:pPr>
            <w:r w:rsidRPr="005A3F27">
              <w:t>Waste-to-energy projects which does not include direct incineration of feedstock. Feedstock will include: Sewage, manure, wastewater, landfill gas capture, sugar cane bagasse, wood pellets and municipal waste.</w:t>
            </w:r>
            <w:r>
              <w:t xml:space="preserve"> These investments will be required to demonstrate a reduction in net greenhouse gas emissions.</w:t>
            </w:r>
          </w:p>
          <w:p w14:paraId="2DC2BD5B" w14:textId="5D690564" w:rsidR="006234C4" w:rsidRPr="00937E4A" w:rsidRDefault="006234C4" w:rsidP="003E4B57">
            <w:pPr>
              <w:numPr>
                <w:ilvl w:val="0"/>
                <w:numId w:val="8"/>
              </w:numPr>
              <w:jc w:val="left"/>
              <w:cnfStyle w:val="000000000000" w:firstRow="0" w:lastRow="0" w:firstColumn="0" w:lastColumn="0" w:oddVBand="0" w:evenVBand="0" w:oddHBand="0" w:evenHBand="0" w:firstRowFirstColumn="0" w:firstRowLastColumn="0" w:lastRowFirstColumn="0" w:lastRowLastColumn="0"/>
            </w:pPr>
            <w:r w:rsidRPr="005A3F27">
              <w:t>Waste collection, recycling and projects that recover or reuse materials and waste as inputs into new products or resources</w:t>
            </w:r>
            <w:r>
              <w:t xml:space="preserve">. For such projects, they must </w:t>
            </w:r>
            <w:r w:rsidRPr="00937E4A">
              <w:t>demonstrate</w:t>
            </w:r>
            <w:r>
              <w:t xml:space="preserve"> through pre-feasibility / feasibility studies that they will result in </w:t>
            </w:r>
            <w:r w:rsidRPr="00937E4A">
              <w:t xml:space="preserve">net reductions </w:t>
            </w:r>
            <w:r>
              <w:t>in waste going to landfill</w:t>
            </w:r>
            <w:r w:rsidRPr="00937E4A">
              <w:t>.</w:t>
            </w:r>
          </w:p>
        </w:tc>
      </w:tr>
      <w:tr w:rsidR="00D00014" w:rsidRPr="005A3F27" w14:paraId="0124674D" w14:textId="77777777" w:rsidTr="00937E4A">
        <w:tc>
          <w:tcPr>
            <w:cnfStyle w:val="001000000000" w:firstRow="0" w:lastRow="0" w:firstColumn="1" w:lastColumn="0" w:oddVBand="0" w:evenVBand="0" w:oddHBand="0" w:evenHBand="0" w:firstRowFirstColumn="0" w:firstRowLastColumn="0" w:lastRowFirstColumn="0" w:lastRowLastColumn="0"/>
            <w:tcW w:w="1172" w:type="pct"/>
          </w:tcPr>
          <w:p w14:paraId="3B026757" w14:textId="3B94CE75" w:rsidR="00F350D3" w:rsidRPr="005A3F27" w:rsidRDefault="006234C4" w:rsidP="00937E4A">
            <w:pPr>
              <w:jc w:val="left"/>
            </w:pPr>
            <w:r w:rsidRPr="006234C4">
              <w:rPr>
                <w:b/>
              </w:rPr>
              <w:t>Pollution prevention and control</w:t>
            </w:r>
          </w:p>
        </w:tc>
        <w:tc>
          <w:tcPr>
            <w:tcW w:w="3828" w:type="pct"/>
          </w:tcPr>
          <w:p w14:paraId="664354A9" w14:textId="031EE54F" w:rsidR="00F350D3" w:rsidRPr="005A3F27" w:rsidRDefault="006234C4" w:rsidP="00F350D3">
            <w:pPr>
              <w:cnfStyle w:val="000000000000" w:firstRow="0" w:lastRow="0" w:firstColumn="0" w:lastColumn="0" w:oddVBand="0" w:evenVBand="0" w:oddHBand="0" w:evenHBand="0" w:firstRowFirstColumn="0" w:firstRowLastColumn="0" w:lastRowFirstColumn="0" w:lastRowLastColumn="0"/>
            </w:pPr>
            <w:r>
              <w:t>Investments in industrial facilities to reduce the end</w:t>
            </w:r>
            <w:r w:rsidR="00945D2A">
              <w:t>-</w:t>
            </w:r>
            <w:r>
              <w:t>production of pollution.</w:t>
            </w:r>
          </w:p>
        </w:tc>
      </w:tr>
      <w:tr w:rsidR="006234C4" w:rsidRPr="005A3F27" w14:paraId="2508710A" w14:textId="77777777" w:rsidTr="00937E4A">
        <w:tc>
          <w:tcPr>
            <w:cnfStyle w:val="001000000000" w:firstRow="0" w:lastRow="0" w:firstColumn="1" w:lastColumn="0" w:oddVBand="0" w:evenVBand="0" w:oddHBand="0" w:evenHBand="0" w:firstRowFirstColumn="0" w:firstRowLastColumn="0" w:lastRowFirstColumn="0" w:lastRowLastColumn="0"/>
            <w:tcW w:w="1172" w:type="pct"/>
          </w:tcPr>
          <w:p w14:paraId="06F679FA" w14:textId="0FC2C437" w:rsidR="006234C4" w:rsidRPr="006234C4" w:rsidRDefault="006234C4" w:rsidP="00937E4A">
            <w:pPr>
              <w:jc w:val="left"/>
              <w:rPr>
                <w:b/>
              </w:rPr>
            </w:pPr>
            <w:r w:rsidRPr="006234C4">
              <w:rPr>
                <w:b/>
              </w:rPr>
              <w:t>The protection and restoration of biodiversity and ecosystems</w:t>
            </w:r>
          </w:p>
        </w:tc>
        <w:tc>
          <w:tcPr>
            <w:tcW w:w="3828" w:type="pct"/>
          </w:tcPr>
          <w:p w14:paraId="38B2237E" w14:textId="0B20BF1C" w:rsidR="006234C4" w:rsidRDefault="006234C4" w:rsidP="006234C4">
            <w:pPr>
              <w:jc w:val="left"/>
              <w:cnfStyle w:val="000000000000" w:firstRow="0" w:lastRow="0" w:firstColumn="0" w:lastColumn="0" w:oddVBand="0" w:evenVBand="0" w:oddHBand="0" w:evenHBand="0" w:firstRowFirstColumn="0" w:firstRowLastColumn="0" w:lastRowFirstColumn="0" w:lastRowLastColumn="0"/>
            </w:pPr>
            <w:r>
              <w:t>Investments in sustainable ecosystem management and increased biodiversity.</w:t>
            </w:r>
          </w:p>
        </w:tc>
      </w:tr>
    </w:tbl>
    <w:p w14:paraId="4BFF57DE" w14:textId="77777777" w:rsidR="004B1415" w:rsidRPr="005A3F27" w:rsidRDefault="004B1415" w:rsidP="004B1415"/>
    <w:p w14:paraId="319C312A" w14:textId="77777777" w:rsidR="00590A35" w:rsidRPr="005A3F27" w:rsidRDefault="004B1415" w:rsidP="000C227E">
      <w:pPr>
        <w:pStyle w:val="Heading2"/>
      </w:pPr>
      <w:bookmarkStart w:id="45" w:name="_Toc104922160"/>
      <w:bookmarkStart w:id="46" w:name="_Toc109127503"/>
      <w:r w:rsidRPr="005A3F27">
        <w:lastRenderedPageBreak/>
        <w:t>Allocation of Proceeds</w:t>
      </w:r>
      <w:bookmarkEnd w:id="45"/>
      <w:bookmarkEnd w:id="46"/>
    </w:p>
    <w:p w14:paraId="35E3CDA9" w14:textId="5A0C1AA3" w:rsidR="004B1415" w:rsidRPr="005A3F27" w:rsidRDefault="004B1415" w:rsidP="00590A35">
      <w:r w:rsidRPr="006234C4">
        <w:rPr>
          <w:b/>
          <w:bCs/>
        </w:rPr>
        <w:t>The Bank</w:t>
      </w:r>
      <w:r w:rsidR="006234C4">
        <w:rPr>
          <w:b/>
          <w:bCs/>
        </w:rPr>
        <w:t>’s</w:t>
      </w:r>
      <w:r w:rsidRPr="005A3F27">
        <w:t xml:space="preserve"> Green Bond Framework supports the Bank’s commitment to playing a role in the just transition to a low carbon </w:t>
      </w:r>
      <w:r w:rsidR="006234C4">
        <w:t xml:space="preserve">and sustainable </w:t>
      </w:r>
      <w:r w:rsidRPr="005A3F27">
        <w:t>economy.</w:t>
      </w:r>
    </w:p>
    <w:p w14:paraId="7F55A7E1" w14:textId="3A7675DC" w:rsidR="004B1415" w:rsidRDefault="004B1415" w:rsidP="004B1415">
      <w:r w:rsidRPr="006234C4">
        <w:rPr>
          <w:b/>
          <w:bCs/>
        </w:rPr>
        <w:t>The Bank</w:t>
      </w:r>
      <w:r w:rsidRPr="005A3F27">
        <w:t xml:space="preserve"> will provide market information for each respective Bond Issuance under this Framework. The information will outline in each instance, the percentage allocation of proceeds towards financing eligible projects and for re-financing projects within the B</w:t>
      </w:r>
      <w:r w:rsidR="0009105E">
        <w:t>ank</w:t>
      </w:r>
      <w:r w:rsidRPr="005A3F27">
        <w:t xml:space="preserve"> investment portfolio.</w:t>
      </w:r>
    </w:p>
    <w:p w14:paraId="5C6AE008" w14:textId="6EBFAA1D" w:rsidR="00AB1921" w:rsidRPr="005A3F27" w:rsidRDefault="00AB1921" w:rsidP="004B1415">
      <w:r w:rsidRPr="0009105E">
        <w:t xml:space="preserve">It is expected that approximately </w:t>
      </w:r>
      <w:r w:rsidR="0009105E" w:rsidRPr="0009105E">
        <w:t>3</w:t>
      </w:r>
      <w:r w:rsidRPr="0009105E">
        <w:t xml:space="preserve">0% of the investments will go towards renewable energy, with another </w:t>
      </w:r>
      <w:r w:rsidR="0009105E" w:rsidRPr="0009105E">
        <w:t>70</w:t>
      </w:r>
      <w:r w:rsidRPr="0009105E">
        <w:t>% going towards energy efficiency – with a focus on investment in buildings, and the remainder going towards various other investments supporting the Environmental Objectives listed in Section 3.2. above.</w:t>
      </w:r>
      <w:r>
        <w:t xml:space="preserve"> </w:t>
      </w:r>
    </w:p>
    <w:p w14:paraId="14165AA0" w14:textId="77777777" w:rsidR="004B1415" w:rsidRPr="005A3F27" w:rsidRDefault="004B1415" w:rsidP="004B1415"/>
    <w:p w14:paraId="58BB3F3B" w14:textId="7CF66DEB" w:rsidR="004B1415" w:rsidRPr="005A3F27" w:rsidRDefault="004B1415" w:rsidP="004B1415">
      <w:pPr>
        <w:pStyle w:val="Heading2"/>
      </w:pPr>
      <w:bookmarkStart w:id="47" w:name="_Toc104922161"/>
      <w:bookmarkStart w:id="48" w:name="_Toc109127504"/>
      <w:r w:rsidRPr="005A3F27">
        <w:t>Oversight of Management and Allocation of Proceeds</w:t>
      </w:r>
      <w:bookmarkEnd w:id="47"/>
      <w:bookmarkEnd w:id="48"/>
    </w:p>
    <w:p w14:paraId="2275ABCD" w14:textId="432ACF66" w:rsidR="004B1415" w:rsidRPr="005A3F27" w:rsidRDefault="006234C4" w:rsidP="004B1415">
      <w:r w:rsidRPr="006234C4">
        <w:rPr>
          <w:b/>
          <w:bCs/>
        </w:rPr>
        <w:t xml:space="preserve">The Bank </w:t>
      </w:r>
      <w:r w:rsidR="004B1415" w:rsidRPr="005A3F27">
        <w:t>commits to a periodic review of</w:t>
      </w:r>
      <w:r>
        <w:t xml:space="preserve"> its </w:t>
      </w:r>
      <w:r w:rsidR="004B1415" w:rsidRPr="005A3F27">
        <w:t>processes, systems and procedures in order to remain aligned with the Green Bond Principles adopted for the allocation and management of proceeds from each Green Bond issuance.</w:t>
      </w:r>
    </w:p>
    <w:p w14:paraId="174CAA7F" w14:textId="77777777" w:rsidR="004B1415" w:rsidRPr="005A3F27" w:rsidRDefault="004B1415" w:rsidP="004B1415"/>
    <w:p w14:paraId="73358780" w14:textId="77777777" w:rsidR="004B1415" w:rsidRPr="005A3F27" w:rsidRDefault="004B1415" w:rsidP="004B1415"/>
    <w:p w14:paraId="0E6E1D5A" w14:textId="6EE8AE8E" w:rsidR="00590A35" w:rsidRPr="005A3F27" w:rsidRDefault="00BC7C82" w:rsidP="00590A35">
      <w:pPr>
        <w:pStyle w:val="Heading1"/>
      </w:pPr>
      <w:bookmarkStart w:id="49" w:name="_Toc109127505"/>
      <w:bookmarkStart w:id="50" w:name="_Toc104922162"/>
      <w:r w:rsidRPr="005A3F27">
        <w:t>Process for Project Evaluation and Selection</w:t>
      </w:r>
      <w:bookmarkEnd w:id="49"/>
    </w:p>
    <w:p w14:paraId="679C30A2" w14:textId="14E3D6CC" w:rsidR="004B1415" w:rsidRPr="005A3F27" w:rsidRDefault="004B1415" w:rsidP="00590A35">
      <w:pPr>
        <w:pStyle w:val="Heading2"/>
      </w:pPr>
      <w:bookmarkStart w:id="51" w:name="_Toc109127506"/>
      <w:r w:rsidRPr="005A3F27">
        <w:t>The Bank definition of a Green Project</w:t>
      </w:r>
      <w:bookmarkEnd w:id="50"/>
      <w:bookmarkEnd w:id="51"/>
    </w:p>
    <w:p w14:paraId="09B2BE39" w14:textId="6BD34A12" w:rsidR="00507080" w:rsidRPr="005A3F27" w:rsidRDefault="00BC481B" w:rsidP="00590A35">
      <w:r>
        <w:t>In line with the EU Taxonomy, a</w:t>
      </w:r>
      <w:r w:rsidR="004B1415" w:rsidRPr="005A3F27">
        <w:t xml:space="preserve"> project is classified </w:t>
      </w:r>
      <w:r w:rsidR="004B1415" w:rsidRPr="005A3F27">
        <w:rPr>
          <w:i/>
        </w:rPr>
        <w:t xml:space="preserve">green </w:t>
      </w:r>
      <w:r w:rsidR="004B1415" w:rsidRPr="005A3F27">
        <w:t xml:space="preserve">when it meets one or more of the following characteristics: </w:t>
      </w:r>
    </w:p>
    <w:p w14:paraId="3495635F" w14:textId="11D3EE9E" w:rsidR="00507080" w:rsidRPr="00AB1921" w:rsidRDefault="004B1415" w:rsidP="003E4B57">
      <w:pPr>
        <w:pStyle w:val="ListParagraph"/>
        <w:numPr>
          <w:ilvl w:val="0"/>
          <w:numId w:val="16"/>
        </w:numPr>
        <w:rPr>
          <w:i/>
          <w:iCs/>
        </w:rPr>
      </w:pPr>
      <w:r w:rsidRPr="00AB1921">
        <w:rPr>
          <w:i/>
          <w:iCs/>
        </w:rPr>
        <w:t xml:space="preserve">Reduces </w:t>
      </w:r>
      <w:r w:rsidR="00BC481B" w:rsidRPr="00AB1921">
        <w:rPr>
          <w:i/>
          <w:iCs/>
        </w:rPr>
        <w:t>g</w:t>
      </w:r>
      <w:r w:rsidRPr="00AB1921">
        <w:rPr>
          <w:i/>
          <w:iCs/>
        </w:rPr>
        <w:t>reenhouse gas emissions</w:t>
      </w:r>
      <w:r w:rsidR="00AB1921" w:rsidRPr="00AB1921">
        <w:rPr>
          <w:i/>
          <w:iCs/>
        </w:rPr>
        <w:t xml:space="preserve"> or r</w:t>
      </w:r>
      <w:r w:rsidRPr="00AB1921">
        <w:rPr>
          <w:i/>
          <w:iCs/>
        </w:rPr>
        <w:t xml:space="preserve">emoves </w:t>
      </w:r>
      <w:r w:rsidR="00BC481B" w:rsidRPr="00AB1921">
        <w:rPr>
          <w:i/>
          <w:iCs/>
        </w:rPr>
        <w:t>g</w:t>
      </w:r>
      <w:r w:rsidRPr="00AB1921">
        <w:rPr>
          <w:i/>
          <w:iCs/>
        </w:rPr>
        <w:t>reenhouse gases from the atmosphere</w:t>
      </w:r>
    </w:p>
    <w:p w14:paraId="33B145EF" w14:textId="1415AE22" w:rsidR="00507080" w:rsidRPr="00AB1921" w:rsidRDefault="004B1415" w:rsidP="003E4B57">
      <w:pPr>
        <w:pStyle w:val="ListParagraph"/>
        <w:numPr>
          <w:ilvl w:val="0"/>
          <w:numId w:val="16"/>
        </w:numPr>
        <w:rPr>
          <w:i/>
          <w:iCs/>
        </w:rPr>
      </w:pPr>
      <w:r w:rsidRPr="00AB1921">
        <w:rPr>
          <w:i/>
          <w:iCs/>
        </w:rPr>
        <w:t>Promotes climate resilience and/or adaptation</w:t>
      </w:r>
    </w:p>
    <w:p w14:paraId="7576E101" w14:textId="118DE7C7" w:rsidR="00507080" w:rsidRPr="00AB1921" w:rsidRDefault="00BC481B" w:rsidP="003E4B57">
      <w:pPr>
        <w:pStyle w:val="ListParagraph"/>
        <w:numPr>
          <w:ilvl w:val="0"/>
          <w:numId w:val="16"/>
        </w:numPr>
        <w:rPr>
          <w:i/>
          <w:iCs/>
        </w:rPr>
      </w:pPr>
      <w:r w:rsidRPr="00AB1921">
        <w:rPr>
          <w:i/>
          <w:iCs/>
        </w:rPr>
        <w:t>Promotes the sustainable use and protection of water and marine resources</w:t>
      </w:r>
    </w:p>
    <w:p w14:paraId="401C3CE9" w14:textId="0C0165C2" w:rsidR="00BC481B" w:rsidRPr="00AB1921" w:rsidRDefault="00BC481B" w:rsidP="003E4B57">
      <w:pPr>
        <w:pStyle w:val="ListParagraph"/>
        <w:numPr>
          <w:ilvl w:val="0"/>
          <w:numId w:val="16"/>
        </w:numPr>
        <w:rPr>
          <w:bCs/>
          <w:i/>
          <w:iCs/>
        </w:rPr>
      </w:pPr>
      <w:r w:rsidRPr="00AB1921">
        <w:rPr>
          <w:bCs/>
          <w:i/>
          <w:iCs/>
        </w:rPr>
        <w:t xml:space="preserve">Aids in the transition to a circular economy / improved waste management </w:t>
      </w:r>
    </w:p>
    <w:p w14:paraId="19DE72A0" w14:textId="474814FC" w:rsidR="00BC481B" w:rsidRPr="00AB1921" w:rsidRDefault="00BC481B" w:rsidP="003E4B57">
      <w:pPr>
        <w:pStyle w:val="ListParagraph"/>
        <w:numPr>
          <w:ilvl w:val="0"/>
          <w:numId w:val="16"/>
        </w:numPr>
        <w:rPr>
          <w:i/>
          <w:iCs/>
        </w:rPr>
      </w:pPr>
      <w:r w:rsidRPr="00AB1921">
        <w:rPr>
          <w:i/>
          <w:iCs/>
        </w:rPr>
        <w:t>Promotes pollution prevention and control</w:t>
      </w:r>
    </w:p>
    <w:p w14:paraId="672F6B39" w14:textId="4CE1EDC3" w:rsidR="004B1415" w:rsidRPr="005A3F27" w:rsidRDefault="00BC481B" w:rsidP="003E4B57">
      <w:pPr>
        <w:pStyle w:val="ListParagraph"/>
        <w:numPr>
          <w:ilvl w:val="0"/>
          <w:numId w:val="16"/>
        </w:numPr>
      </w:pPr>
      <w:r w:rsidRPr="00AB1921">
        <w:rPr>
          <w:i/>
          <w:iCs/>
        </w:rPr>
        <w:t>Aids in the protection and restoration of biodiversity and ecosystems –</w:t>
      </w:r>
      <w:r>
        <w:t xml:space="preserve"> including v</w:t>
      </w:r>
      <w:r w:rsidR="004B1415" w:rsidRPr="005A3F27">
        <w:t>alu</w:t>
      </w:r>
      <w:r>
        <w:t>ing</w:t>
      </w:r>
      <w:r w:rsidR="004B1415" w:rsidRPr="005A3F27">
        <w:t xml:space="preserve"> and improves ecosystem services and biodiversity and promotes sustainable land use management practices</w:t>
      </w:r>
    </w:p>
    <w:p w14:paraId="6D33081E" w14:textId="3DBDE1C5" w:rsidR="004B1415" w:rsidRPr="005A3F27" w:rsidRDefault="004B1415" w:rsidP="00DB7AE1">
      <w:r w:rsidRPr="005A3F27">
        <w:t xml:space="preserve">All projects identified as eligible for consideration for finance through </w:t>
      </w:r>
      <w:r w:rsidR="00BC481B" w:rsidRPr="00BC481B">
        <w:rPr>
          <w:b/>
          <w:bCs/>
        </w:rPr>
        <w:t>the Bank’s</w:t>
      </w:r>
      <w:r w:rsidR="00BC481B">
        <w:t xml:space="preserve"> </w:t>
      </w:r>
      <w:r w:rsidRPr="005A3F27">
        <w:t>Green Bond issuance are</w:t>
      </w:r>
      <w:r w:rsidR="00FD13D4" w:rsidRPr="005A3F27">
        <w:t xml:space="preserve"> </w:t>
      </w:r>
      <w:r w:rsidRPr="005A3F27">
        <w:t>screened for environmental and social risk</w:t>
      </w:r>
      <w:r w:rsidR="00FD13D4" w:rsidRPr="005A3F27">
        <w:t xml:space="preserve"> in accordance with the Bank’s social and environmental</w:t>
      </w:r>
      <w:r w:rsidR="00AD4491" w:rsidRPr="005A3F27">
        <w:t xml:space="preserve"> </w:t>
      </w:r>
      <w:r w:rsidRPr="005A3F27">
        <w:t xml:space="preserve">management framework. </w:t>
      </w:r>
      <w:r w:rsidRPr="00BC481B">
        <w:rPr>
          <w:b/>
          <w:bCs/>
        </w:rPr>
        <w:t xml:space="preserve">The </w:t>
      </w:r>
      <w:r w:rsidR="00BC481B" w:rsidRPr="00BC481B">
        <w:rPr>
          <w:b/>
          <w:bCs/>
        </w:rPr>
        <w:t>Bank</w:t>
      </w:r>
      <w:r w:rsidR="00BC481B">
        <w:t xml:space="preserve"> </w:t>
      </w:r>
      <w:r w:rsidRPr="005A3F27">
        <w:t xml:space="preserve">commitment to transparent social and environmental </w:t>
      </w:r>
      <w:r w:rsidRPr="00311B6C">
        <w:t>practices is</w:t>
      </w:r>
      <w:r w:rsidR="00AD4491" w:rsidRPr="00311B6C">
        <w:t xml:space="preserve"> evidenced by amongst others, the Bank’s Environmental and Social Safeguard Standards</w:t>
      </w:r>
      <w:r w:rsidR="00A80421" w:rsidRPr="00311B6C">
        <w:rPr>
          <w:rStyle w:val="FootnoteReference"/>
        </w:rPr>
        <w:footnoteReference w:id="7"/>
      </w:r>
      <w:r w:rsidR="00DB7AE1" w:rsidRPr="00311B6C">
        <w:t xml:space="preserve"> </w:t>
      </w:r>
      <w:r w:rsidRPr="00311B6C">
        <w:t>Climate</w:t>
      </w:r>
      <w:r w:rsidRPr="005A3F27">
        <w:t xml:space="preserve"> assessment procedures utilised align with the IDFC green finance </w:t>
      </w:r>
      <w:r w:rsidRPr="005A3F27">
        <w:lastRenderedPageBreak/>
        <w:t xml:space="preserve">tracking methodology guidelines and Good International Industry Practice. </w:t>
      </w:r>
      <w:r w:rsidRPr="00BC481B">
        <w:rPr>
          <w:b/>
          <w:bCs/>
        </w:rPr>
        <w:t xml:space="preserve">The </w:t>
      </w:r>
      <w:r w:rsidR="00BC481B" w:rsidRPr="00BC481B">
        <w:rPr>
          <w:b/>
          <w:bCs/>
        </w:rPr>
        <w:t>Bank</w:t>
      </w:r>
      <w:r w:rsidR="00BC481B">
        <w:t xml:space="preserve"> </w:t>
      </w:r>
      <w:r w:rsidRPr="005A3F27">
        <w:t>utilises the IDFC methodology for screening project GHG emission volumes.</w:t>
      </w:r>
      <w:r w:rsidR="00BC481B">
        <w:t xml:space="preserve"> These are supported by the use of a tool developed for this bond issuance.</w:t>
      </w:r>
    </w:p>
    <w:p w14:paraId="5655A783" w14:textId="44992F74" w:rsidR="00BC481B" w:rsidRPr="005A3F27" w:rsidRDefault="004B1415" w:rsidP="004B1415">
      <w:r w:rsidRPr="005A3F27">
        <w:t xml:space="preserve">The credibility of the </w:t>
      </w:r>
      <w:r w:rsidR="00BC481B">
        <w:t xml:space="preserve">Bank’s </w:t>
      </w:r>
      <w:r w:rsidRPr="005A3F27">
        <w:t>project selection and appraisal processes has been validated to be in line with</w:t>
      </w:r>
      <w:r w:rsidR="004C5195" w:rsidRPr="005A3F27">
        <w:t xml:space="preserve"> international best practice, as evidenced by </w:t>
      </w:r>
      <w:r w:rsidR="004C5195" w:rsidRPr="00B001EA">
        <w:t>the Bank’s</w:t>
      </w:r>
      <w:r w:rsidR="00311B6C" w:rsidRPr="00B001EA">
        <w:rPr>
          <w:lang w:val="hy-AM"/>
        </w:rPr>
        <w:t xml:space="preserve"> </w:t>
      </w:r>
      <w:r w:rsidR="00311B6C" w:rsidRPr="00B001EA">
        <w:rPr>
          <w:lang w:val="en-US"/>
        </w:rPr>
        <w:t>cooperation</w:t>
      </w:r>
      <w:r w:rsidR="00311B6C">
        <w:rPr>
          <w:lang w:val="en-US"/>
        </w:rPr>
        <w:t xml:space="preserve"> with leading European Institutions, such as EBRD, ADB, etc</w:t>
      </w:r>
      <w:r w:rsidR="00885AD7">
        <w:rPr>
          <w:lang w:val="en-US"/>
        </w:rPr>
        <w:t>. A</w:t>
      </w:r>
      <w:r w:rsidR="00B001EA">
        <w:t>RMSWISSBANK has successful track record of cooperation with mentioned financial institutions in frame of different sustainable and green programs.</w:t>
      </w:r>
      <w:r w:rsidR="00C449C2">
        <w:t xml:space="preserve"> Scaling up of internal human capacity of ARMSWISSBANK is continuous </w:t>
      </w:r>
      <w:r w:rsidR="00400646">
        <w:t>p</w:t>
      </w:r>
      <w:r w:rsidR="00C449C2">
        <w:t>rocess.</w:t>
      </w:r>
    </w:p>
    <w:p w14:paraId="0F1EDA80" w14:textId="10D3056A" w:rsidR="004B1415" w:rsidRPr="005A3F27" w:rsidRDefault="00FD33D9" w:rsidP="00FD33D9">
      <w:pPr>
        <w:pStyle w:val="Heading2"/>
      </w:pPr>
      <w:bookmarkStart w:id="52" w:name="_Toc109127507"/>
      <w:r w:rsidRPr="005A3F27">
        <w:t>Investment</w:t>
      </w:r>
      <w:r w:rsidRPr="005A3F27">
        <w:rPr>
          <w:spacing w:val="-5"/>
        </w:rPr>
        <w:t xml:space="preserve"> </w:t>
      </w:r>
      <w:r w:rsidRPr="005A3F27">
        <w:t>Restrictions/</w:t>
      </w:r>
      <w:r w:rsidRPr="005A3F27">
        <w:rPr>
          <w:spacing w:val="-4"/>
        </w:rPr>
        <w:t xml:space="preserve"> </w:t>
      </w:r>
      <w:r w:rsidRPr="005A3F27">
        <w:t>Thresholds</w:t>
      </w:r>
      <w:r w:rsidRPr="005A3F27">
        <w:rPr>
          <w:spacing w:val="-3"/>
        </w:rPr>
        <w:t xml:space="preserve"> </w:t>
      </w:r>
      <w:r w:rsidRPr="005A3F27">
        <w:t>and</w:t>
      </w:r>
      <w:r w:rsidRPr="005A3F27">
        <w:rPr>
          <w:spacing w:val="-1"/>
        </w:rPr>
        <w:t xml:space="preserve"> </w:t>
      </w:r>
      <w:r w:rsidRPr="005A3F27">
        <w:t>Exclusion</w:t>
      </w:r>
      <w:r w:rsidRPr="005A3F27">
        <w:rPr>
          <w:spacing w:val="-7"/>
        </w:rPr>
        <w:t xml:space="preserve"> </w:t>
      </w:r>
      <w:r w:rsidRPr="005A3F27">
        <w:t>Criteria</w:t>
      </w:r>
      <w:bookmarkEnd w:id="52"/>
    </w:p>
    <w:p w14:paraId="332C3357" w14:textId="221EBBE2" w:rsidR="00865986" w:rsidRPr="005A3F27" w:rsidRDefault="00AB1921" w:rsidP="00BB407F">
      <w:pPr>
        <w:pStyle w:val="BodyText"/>
        <w:spacing w:before="183" w:line="259" w:lineRule="auto"/>
        <w:ind w:right="114"/>
      </w:pPr>
      <w:r>
        <w:t>In addition to the requirements that investments contribute to environmental objectives (see Section 3.2), r</w:t>
      </w:r>
      <w:r w:rsidR="00865986" w:rsidRPr="005A3F27">
        <w:t>estrictions on the Eligible Project may be applied based on the own internal assessment by the</w:t>
      </w:r>
      <w:r w:rsidR="00865986" w:rsidRPr="005A3F27">
        <w:rPr>
          <w:spacing w:val="1"/>
        </w:rPr>
        <w:t xml:space="preserve"> </w:t>
      </w:r>
      <w:r w:rsidR="00865986" w:rsidRPr="005A3F27">
        <w:t>Servicer which can be stricter compared to this Framework. Potential restrictions depend on the</w:t>
      </w:r>
      <w:r w:rsidR="00865986" w:rsidRPr="005A3F27">
        <w:rPr>
          <w:spacing w:val="1"/>
        </w:rPr>
        <w:t xml:space="preserve"> </w:t>
      </w:r>
      <w:r w:rsidR="00865986" w:rsidRPr="005A3F27">
        <w:t>specific</w:t>
      </w:r>
      <w:r w:rsidR="00865986" w:rsidRPr="005A3F27">
        <w:rPr>
          <w:spacing w:val="1"/>
        </w:rPr>
        <w:t xml:space="preserve"> </w:t>
      </w:r>
      <w:r w:rsidR="00865986" w:rsidRPr="005A3F27">
        <w:t>characteristics</w:t>
      </w:r>
      <w:r w:rsidR="00865986" w:rsidRPr="005A3F27">
        <w:rPr>
          <w:spacing w:val="1"/>
        </w:rPr>
        <w:t xml:space="preserve"> </w:t>
      </w:r>
      <w:r w:rsidR="00865986" w:rsidRPr="005A3F27">
        <w:t>of</w:t>
      </w:r>
      <w:r w:rsidR="00865986" w:rsidRPr="005A3F27">
        <w:rPr>
          <w:spacing w:val="1"/>
        </w:rPr>
        <w:t xml:space="preserve"> </w:t>
      </w:r>
      <w:r w:rsidR="00865986" w:rsidRPr="005A3F27">
        <w:t>each</w:t>
      </w:r>
      <w:r w:rsidR="00865986" w:rsidRPr="005A3F27">
        <w:rPr>
          <w:spacing w:val="1"/>
        </w:rPr>
        <w:t xml:space="preserve"> </w:t>
      </w:r>
      <w:r w:rsidR="00865986" w:rsidRPr="005A3F27">
        <w:t>Investee</w:t>
      </w:r>
      <w:r w:rsidR="00865986" w:rsidRPr="005A3F27">
        <w:rPr>
          <w:spacing w:val="1"/>
        </w:rPr>
        <w:t xml:space="preserve"> </w:t>
      </w:r>
      <w:r w:rsidR="00865986" w:rsidRPr="005A3F27">
        <w:t>and</w:t>
      </w:r>
      <w:r w:rsidR="00865986" w:rsidRPr="005A3F27">
        <w:rPr>
          <w:spacing w:val="1"/>
        </w:rPr>
        <w:t xml:space="preserve"> </w:t>
      </w:r>
      <w:r w:rsidR="00865986" w:rsidRPr="005A3F27">
        <w:t>need</w:t>
      </w:r>
      <w:r w:rsidR="00865986" w:rsidRPr="005A3F27">
        <w:rPr>
          <w:spacing w:val="1"/>
        </w:rPr>
        <w:t xml:space="preserve"> </w:t>
      </w:r>
      <w:r w:rsidR="00865986" w:rsidRPr="005A3F27">
        <w:t>to</w:t>
      </w:r>
      <w:r w:rsidR="00865986" w:rsidRPr="005A3F27">
        <w:rPr>
          <w:spacing w:val="1"/>
        </w:rPr>
        <w:t xml:space="preserve"> </w:t>
      </w:r>
      <w:r w:rsidR="00865986" w:rsidRPr="005A3F27">
        <w:t>be</w:t>
      </w:r>
      <w:r w:rsidR="00865986" w:rsidRPr="005A3F27">
        <w:rPr>
          <w:spacing w:val="1"/>
        </w:rPr>
        <w:t xml:space="preserve"> </w:t>
      </w:r>
      <w:r w:rsidR="00865986" w:rsidRPr="005A3F27">
        <w:t>approved</w:t>
      </w:r>
      <w:r w:rsidR="00865986" w:rsidRPr="005A3F27">
        <w:rPr>
          <w:spacing w:val="1"/>
        </w:rPr>
        <w:t xml:space="preserve"> </w:t>
      </w:r>
      <w:r w:rsidR="00865986" w:rsidRPr="005A3F27">
        <w:t>by</w:t>
      </w:r>
      <w:r w:rsidR="00865986" w:rsidRPr="005A3F27">
        <w:rPr>
          <w:spacing w:val="1"/>
        </w:rPr>
        <w:t xml:space="preserve"> </w:t>
      </w:r>
      <w:r w:rsidR="00917807" w:rsidRPr="005A3F27">
        <w:t xml:space="preserve">the </w:t>
      </w:r>
      <w:r>
        <w:rPr>
          <w:b/>
          <w:bCs/>
        </w:rPr>
        <w:t xml:space="preserve">Bank </w:t>
      </w:r>
      <w:r w:rsidR="00865986" w:rsidRPr="005A3F27">
        <w:rPr>
          <w:b/>
          <w:bCs/>
        </w:rPr>
        <w:t>Sustainability</w:t>
      </w:r>
      <w:r w:rsidR="00865986" w:rsidRPr="005A3F27">
        <w:rPr>
          <w:b/>
          <w:bCs/>
          <w:spacing w:val="1"/>
        </w:rPr>
        <w:t xml:space="preserve"> </w:t>
      </w:r>
      <w:r w:rsidR="00865986" w:rsidRPr="005A3F27">
        <w:rPr>
          <w:b/>
          <w:bCs/>
        </w:rPr>
        <w:t>Committee</w:t>
      </w:r>
      <w:r w:rsidR="00865986" w:rsidRPr="005A3F27">
        <w:t>, as</w:t>
      </w:r>
      <w:r w:rsidR="00865986" w:rsidRPr="005A3F27">
        <w:rPr>
          <w:spacing w:val="-3"/>
        </w:rPr>
        <w:t xml:space="preserve"> </w:t>
      </w:r>
      <w:r w:rsidR="00865986" w:rsidRPr="005A3F27">
        <w:t>further described in</w:t>
      </w:r>
      <w:r w:rsidR="00865986" w:rsidRPr="005A3F27">
        <w:rPr>
          <w:spacing w:val="-1"/>
        </w:rPr>
        <w:t xml:space="preserve"> </w:t>
      </w:r>
      <w:r w:rsidR="00865986" w:rsidRPr="005A3F27">
        <w:t>section</w:t>
      </w:r>
      <w:r w:rsidR="00865986" w:rsidRPr="005A3F27">
        <w:rPr>
          <w:spacing w:val="-1"/>
        </w:rPr>
        <w:t xml:space="preserve"> </w:t>
      </w:r>
      <w:r w:rsidR="00865986" w:rsidRPr="005A3F27">
        <w:t>(b)</w:t>
      </w:r>
      <w:r w:rsidR="00865986" w:rsidRPr="005A3F27">
        <w:rPr>
          <w:spacing w:val="-4"/>
        </w:rPr>
        <w:t xml:space="preserve"> </w:t>
      </w:r>
      <w:r w:rsidR="00865986" w:rsidRPr="005A3F27">
        <w:t>below.</w:t>
      </w:r>
    </w:p>
    <w:p w14:paraId="41BA6892" w14:textId="1385603C" w:rsidR="00865986" w:rsidRPr="005A3F27" w:rsidRDefault="00AB1921" w:rsidP="00BB407F">
      <w:pPr>
        <w:pStyle w:val="BodyText"/>
        <w:spacing w:before="160" w:line="256" w:lineRule="auto"/>
        <w:ind w:right="113"/>
      </w:pPr>
      <w:r>
        <w:rPr>
          <w:spacing w:val="-1"/>
        </w:rPr>
        <w:t>A</w:t>
      </w:r>
      <w:r w:rsidR="004D32EA">
        <w:rPr>
          <w:spacing w:val="-1"/>
        </w:rPr>
        <w:t xml:space="preserve">RMSWISSBANK </w:t>
      </w:r>
      <w:r>
        <w:rPr>
          <w:spacing w:val="-1"/>
        </w:rPr>
        <w:t xml:space="preserve">has the following </w:t>
      </w:r>
      <w:r w:rsidR="00865986" w:rsidRPr="005A3F27">
        <w:rPr>
          <w:spacing w:val="-1"/>
        </w:rPr>
        <w:t>exclusion</w:t>
      </w:r>
      <w:r w:rsidR="00865986" w:rsidRPr="005A3F27">
        <w:rPr>
          <w:spacing w:val="-12"/>
        </w:rPr>
        <w:t xml:space="preserve"> </w:t>
      </w:r>
      <w:r w:rsidR="00865986" w:rsidRPr="005A3F27">
        <w:rPr>
          <w:spacing w:val="-1"/>
        </w:rPr>
        <w:t>list</w:t>
      </w:r>
      <w:r w:rsidR="00865986" w:rsidRPr="005A3F27">
        <w:rPr>
          <w:spacing w:val="-11"/>
        </w:rPr>
        <w:t xml:space="preserve"> </w:t>
      </w:r>
      <w:r w:rsidR="00865986" w:rsidRPr="005A3F27">
        <w:rPr>
          <w:spacing w:val="-1"/>
        </w:rPr>
        <w:t>that</w:t>
      </w:r>
      <w:r w:rsidR="00865986" w:rsidRPr="005A3F27">
        <w:rPr>
          <w:spacing w:val="-11"/>
        </w:rPr>
        <w:t xml:space="preserve"> </w:t>
      </w:r>
      <w:r w:rsidR="00865986" w:rsidRPr="005A3F27">
        <w:rPr>
          <w:spacing w:val="-1"/>
        </w:rPr>
        <w:t>applies</w:t>
      </w:r>
      <w:r w:rsidR="00865986" w:rsidRPr="005A3F27">
        <w:rPr>
          <w:spacing w:val="-11"/>
        </w:rPr>
        <w:t xml:space="preserve"> </w:t>
      </w:r>
      <w:r w:rsidR="00865986" w:rsidRPr="005A3F27">
        <w:t>to</w:t>
      </w:r>
      <w:r w:rsidR="00865986" w:rsidRPr="005A3F27">
        <w:rPr>
          <w:spacing w:val="-11"/>
        </w:rPr>
        <w:t xml:space="preserve"> </w:t>
      </w:r>
      <w:r w:rsidR="00865986" w:rsidRPr="005A3F27">
        <w:t>Social</w:t>
      </w:r>
      <w:r w:rsidR="00865986" w:rsidRPr="005A3F27">
        <w:rPr>
          <w:spacing w:val="-11"/>
        </w:rPr>
        <w:t xml:space="preserve"> </w:t>
      </w:r>
      <w:r w:rsidR="00865986" w:rsidRPr="005A3F27">
        <w:t>Loans</w:t>
      </w:r>
      <w:r w:rsidR="00865986" w:rsidRPr="005A3F27">
        <w:rPr>
          <w:spacing w:val="-14"/>
        </w:rPr>
        <w:t xml:space="preserve"> </w:t>
      </w:r>
      <w:r w:rsidR="00865986" w:rsidRPr="005A3F27">
        <w:t>or</w:t>
      </w:r>
      <w:r w:rsidR="00865986" w:rsidRPr="005A3F27">
        <w:rPr>
          <w:spacing w:val="-11"/>
        </w:rPr>
        <w:t xml:space="preserve"> </w:t>
      </w:r>
      <w:r w:rsidR="00865986" w:rsidRPr="005A3F27">
        <w:t>Sustainability</w:t>
      </w:r>
      <w:r w:rsidR="00865986" w:rsidRPr="005A3F27">
        <w:rPr>
          <w:spacing w:val="-10"/>
        </w:rPr>
        <w:t xml:space="preserve"> </w:t>
      </w:r>
      <w:r w:rsidR="00865986" w:rsidRPr="005A3F27">
        <w:t>Loans</w:t>
      </w:r>
      <w:r w:rsidR="00865986" w:rsidRPr="005A3F27">
        <w:rPr>
          <w:spacing w:val="-11"/>
        </w:rPr>
        <w:t xml:space="preserve"> </w:t>
      </w:r>
      <w:r w:rsidR="00865986" w:rsidRPr="005A3F27">
        <w:t>includes</w:t>
      </w:r>
      <w:r w:rsidR="00865986" w:rsidRPr="005A3F27">
        <w:rPr>
          <w:spacing w:val="-12"/>
        </w:rPr>
        <w:t xml:space="preserve"> </w:t>
      </w:r>
      <w:r w:rsidR="00865986" w:rsidRPr="005A3F27">
        <w:t>the</w:t>
      </w:r>
      <w:r w:rsidR="00865986" w:rsidRPr="005A3F27">
        <w:rPr>
          <w:spacing w:val="-12"/>
        </w:rPr>
        <w:t xml:space="preserve"> </w:t>
      </w:r>
      <w:r w:rsidR="00865986" w:rsidRPr="005A3F27">
        <w:t>below</w:t>
      </w:r>
      <w:r w:rsidR="00865986" w:rsidRPr="005A3F27">
        <w:rPr>
          <w:spacing w:val="-10"/>
        </w:rPr>
        <w:t xml:space="preserve"> </w:t>
      </w:r>
      <w:r w:rsidR="00865986" w:rsidRPr="005A3F27">
        <w:t>group</w:t>
      </w:r>
      <w:r w:rsidR="00865986" w:rsidRPr="005A3F27">
        <w:rPr>
          <w:spacing w:val="-48"/>
        </w:rPr>
        <w:t xml:space="preserve"> </w:t>
      </w:r>
      <w:r w:rsidR="00865986" w:rsidRPr="005A3F27">
        <w:t>of activities:</w:t>
      </w:r>
    </w:p>
    <w:p w14:paraId="4E02BF71" w14:textId="32DDC2EB" w:rsidR="00740002" w:rsidRDefault="00AB1921" w:rsidP="003E4B57">
      <w:pPr>
        <w:pStyle w:val="ListParagraph"/>
        <w:numPr>
          <w:ilvl w:val="0"/>
          <w:numId w:val="21"/>
        </w:numPr>
      </w:pPr>
      <w:r>
        <w:t>Production or activity that involves the child’s forced</w:t>
      </w:r>
      <w:r w:rsidR="00740002">
        <w:rPr>
          <w:rStyle w:val="FootnoteReference"/>
        </w:rPr>
        <w:footnoteReference w:id="8"/>
      </w:r>
      <w:r>
        <w:t xml:space="preserve"> or dangerous labour</w:t>
      </w:r>
      <w:r w:rsidR="00740002">
        <w:rPr>
          <w:rStyle w:val="FootnoteReference"/>
        </w:rPr>
        <w:footnoteReference w:id="9"/>
      </w:r>
      <w:r>
        <w:t>, is harmful or exploitative</w:t>
      </w:r>
    </w:p>
    <w:p w14:paraId="391AEED9" w14:textId="0A0D1B64" w:rsidR="00740002" w:rsidRDefault="00AB1921" w:rsidP="003E4B57">
      <w:pPr>
        <w:pStyle w:val="ListParagraph"/>
        <w:numPr>
          <w:ilvl w:val="0"/>
          <w:numId w:val="21"/>
        </w:numPr>
      </w:pPr>
      <w:r>
        <w:t>Manufacture or trade of any product or activity that is considered illegal by the laws of the given country or international conventions and treaties</w:t>
      </w:r>
    </w:p>
    <w:p w14:paraId="696CB1CF" w14:textId="60F2D7E4" w:rsidR="00740002" w:rsidRDefault="00AB1921" w:rsidP="003E4B57">
      <w:pPr>
        <w:pStyle w:val="ListParagraph"/>
        <w:numPr>
          <w:ilvl w:val="0"/>
          <w:numId w:val="21"/>
        </w:numPr>
      </w:pPr>
      <w:r>
        <w:t>Manufacture or trade of weapons and ammunition</w:t>
      </w:r>
    </w:p>
    <w:p w14:paraId="2D305D2B" w14:textId="57E33A46" w:rsidR="00740002" w:rsidRDefault="00AB1921" w:rsidP="003E4B57">
      <w:pPr>
        <w:pStyle w:val="ListParagraph"/>
        <w:numPr>
          <w:ilvl w:val="0"/>
          <w:numId w:val="21"/>
        </w:numPr>
      </w:pPr>
      <w:r>
        <w:t>Manufacture or trade of cigarettes</w:t>
      </w:r>
    </w:p>
    <w:p w14:paraId="78277790" w14:textId="6081F78F" w:rsidR="00740002" w:rsidRDefault="00AB1921" w:rsidP="003E4B57">
      <w:pPr>
        <w:pStyle w:val="ListParagraph"/>
        <w:numPr>
          <w:ilvl w:val="0"/>
          <w:numId w:val="21"/>
        </w:numPr>
      </w:pPr>
      <w:r>
        <w:t>Gambling, casinos and similar enterprises</w:t>
      </w:r>
    </w:p>
    <w:p w14:paraId="527B703F" w14:textId="69E12391" w:rsidR="00740002" w:rsidRDefault="00AB1921" w:rsidP="003E4B57">
      <w:pPr>
        <w:pStyle w:val="ListParagraph"/>
        <w:numPr>
          <w:ilvl w:val="0"/>
          <w:numId w:val="21"/>
        </w:numPr>
      </w:pPr>
      <w:r>
        <w:t>Trade in wild animals and products made from them which is regulated by the provisions of the CITES Convention</w:t>
      </w:r>
      <w:r w:rsidR="00740002">
        <w:rPr>
          <w:rStyle w:val="FootnoteReference"/>
        </w:rPr>
        <w:footnoteReference w:id="10"/>
      </w:r>
    </w:p>
    <w:p w14:paraId="566124FA" w14:textId="5CA1BC7C" w:rsidR="00740002" w:rsidRDefault="00AB1921" w:rsidP="003E4B57">
      <w:pPr>
        <w:pStyle w:val="ListParagraph"/>
        <w:numPr>
          <w:ilvl w:val="0"/>
          <w:numId w:val="21"/>
        </w:numPr>
      </w:pPr>
      <w:r>
        <w:t>Manufacture or trade of radioactive materials</w:t>
      </w:r>
      <w:r w:rsidR="00740002">
        <w:rPr>
          <w:rStyle w:val="FootnoteReference"/>
        </w:rPr>
        <w:footnoteReference w:id="11"/>
      </w:r>
    </w:p>
    <w:p w14:paraId="01765560" w14:textId="2777F026" w:rsidR="00740002" w:rsidRDefault="00AB1921" w:rsidP="003E4B57">
      <w:pPr>
        <w:pStyle w:val="ListParagraph"/>
        <w:numPr>
          <w:ilvl w:val="0"/>
          <w:numId w:val="21"/>
        </w:numPr>
      </w:pPr>
      <w:r>
        <w:t>Manufacture, use or trade of unbound asbestos fibr</w:t>
      </w:r>
      <w:r w:rsidR="00945D2A">
        <w:t>e</w:t>
      </w:r>
      <w:r>
        <w:t>s and asbestos-containing materials</w:t>
      </w:r>
      <w:r w:rsidR="00740002">
        <w:rPr>
          <w:rStyle w:val="FootnoteReference"/>
        </w:rPr>
        <w:footnoteReference w:id="12"/>
      </w:r>
    </w:p>
    <w:p w14:paraId="5FDE7F1B" w14:textId="51C4E561" w:rsidR="00740002" w:rsidRDefault="00AB1921" w:rsidP="003E4B57">
      <w:pPr>
        <w:pStyle w:val="ListParagraph"/>
        <w:numPr>
          <w:ilvl w:val="0"/>
          <w:numId w:val="21"/>
        </w:numPr>
      </w:pPr>
      <w:r>
        <w:t>Manufacture or trade of wood or other forest products of unregulated forest</w:t>
      </w:r>
    </w:p>
    <w:p w14:paraId="72D6FA23" w14:textId="77777777" w:rsidR="00740002" w:rsidRDefault="00AB1921" w:rsidP="003E4B57">
      <w:pPr>
        <w:pStyle w:val="ListParagraph"/>
        <w:numPr>
          <w:ilvl w:val="0"/>
          <w:numId w:val="21"/>
        </w:numPr>
      </w:pPr>
      <w:r>
        <w:lastRenderedPageBreak/>
        <w:t>Manufacture or trade of electrical equipment and devices containing polychlorinated biphenyls</w:t>
      </w:r>
      <w:r w:rsidR="00740002">
        <w:rPr>
          <w:rStyle w:val="FootnoteReference"/>
        </w:rPr>
        <w:footnoteReference w:id="13"/>
      </w:r>
    </w:p>
    <w:p w14:paraId="4C51FEF0" w14:textId="61715C10" w:rsidR="00740002" w:rsidRDefault="00AB1921" w:rsidP="003E4B57">
      <w:pPr>
        <w:pStyle w:val="ListParagraph"/>
        <w:numPr>
          <w:ilvl w:val="0"/>
          <w:numId w:val="21"/>
        </w:numPr>
      </w:pPr>
      <w:r>
        <w:t>Manufacture, trade, storage</w:t>
      </w:r>
      <w:r w:rsidR="00945D2A">
        <w:t>,</w:t>
      </w:r>
      <w:r>
        <w:t xml:space="preserve"> or transportation of large quantities of hazardous chemicals or their extensive use for commercial purposes</w:t>
      </w:r>
      <w:r w:rsidR="00740002">
        <w:rPr>
          <w:rStyle w:val="FootnoteReference"/>
        </w:rPr>
        <w:footnoteReference w:id="14"/>
      </w:r>
    </w:p>
    <w:p w14:paraId="7864B494" w14:textId="5DDB8DF8" w:rsidR="00740002" w:rsidRDefault="00AB1921" w:rsidP="003E4B57">
      <w:pPr>
        <w:pStyle w:val="ListParagraph"/>
        <w:numPr>
          <w:ilvl w:val="0"/>
          <w:numId w:val="21"/>
        </w:numPr>
      </w:pPr>
      <w:r>
        <w:t>Manufacture or trade of internationally banned pharmaceuticals</w:t>
      </w:r>
    </w:p>
    <w:p w14:paraId="16475D2D" w14:textId="77777777" w:rsidR="00740002" w:rsidRDefault="00AB1921" w:rsidP="003E4B57">
      <w:pPr>
        <w:pStyle w:val="ListParagraph"/>
        <w:numPr>
          <w:ilvl w:val="0"/>
          <w:numId w:val="21"/>
        </w:numPr>
      </w:pPr>
      <w:r>
        <w:t>Manufacture or trade of items containing internationally banned pesticides and herbicides</w:t>
      </w:r>
    </w:p>
    <w:p w14:paraId="1E48F43A" w14:textId="77777777" w:rsidR="00740002" w:rsidRDefault="00AB1921" w:rsidP="003E4B57">
      <w:pPr>
        <w:pStyle w:val="ListParagraph"/>
        <w:numPr>
          <w:ilvl w:val="0"/>
          <w:numId w:val="21"/>
        </w:numPr>
      </w:pPr>
      <w:r>
        <w:t>Manufacture or trade of internationally banned ozone depleting substances</w:t>
      </w:r>
      <w:r w:rsidR="00740002">
        <w:rPr>
          <w:rStyle w:val="FootnoteReference"/>
        </w:rPr>
        <w:footnoteReference w:id="15"/>
      </w:r>
    </w:p>
    <w:p w14:paraId="693F5370" w14:textId="32EB3EFA" w:rsidR="00740002" w:rsidRDefault="00AB1921" w:rsidP="003E4B57">
      <w:pPr>
        <w:pStyle w:val="ListParagraph"/>
        <w:numPr>
          <w:ilvl w:val="0"/>
          <w:numId w:val="21"/>
        </w:numPr>
      </w:pPr>
      <w:r>
        <w:t>Installation of nets for fishing and fishing with nets exceeding 2.5 km in length in the marine environment</w:t>
      </w:r>
    </w:p>
    <w:p w14:paraId="0512B00C" w14:textId="01C568CC" w:rsidR="00740002" w:rsidRDefault="00AB1921" w:rsidP="003E4B57">
      <w:pPr>
        <w:pStyle w:val="ListParagraph"/>
        <w:numPr>
          <w:ilvl w:val="0"/>
          <w:numId w:val="21"/>
        </w:numPr>
      </w:pPr>
      <w:r>
        <w:t>A production or activity that displaces the natives from the lands they own or their ownership by judicial decision without their consent</w:t>
      </w:r>
    </w:p>
    <w:p w14:paraId="7A30A698" w14:textId="77777777" w:rsidR="00740002" w:rsidRDefault="00AB1921" w:rsidP="003E4B57">
      <w:pPr>
        <w:pStyle w:val="ListParagraph"/>
        <w:numPr>
          <w:ilvl w:val="0"/>
          <w:numId w:val="21"/>
        </w:numPr>
      </w:pPr>
      <w:r>
        <w:t>Production or activity that causes “significant” forced displacement</w:t>
      </w:r>
      <w:r w:rsidR="00740002">
        <w:rPr>
          <w:rStyle w:val="FootnoteReference"/>
        </w:rPr>
        <w:footnoteReference w:id="16"/>
      </w:r>
    </w:p>
    <w:p w14:paraId="1C20B7BE" w14:textId="2E35C087" w:rsidR="00740002" w:rsidRDefault="00AB1921" w:rsidP="003E4B57">
      <w:pPr>
        <w:pStyle w:val="ListParagraph"/>
        <w:numPr>
          <w:ilvl w:val="0"/>
          <w:numId w:val="21"/>
        </w:numPr>
      </w:pPr>
      <w:r>
        <w:t>Manufacture, use or trade of chlorinated hydrocarbons, gallons and other materials regulated by the Montreal Protocol</w:t>
      </w:r>
    </w:p>
    <w:p w14:paraId="6E4620D1" w14:textId="77777777" w:rsidR="00740002" w:rsidRDefault="00AB1921" w:rsidP="003E4B57">
      <w:pPr>
        <w:pStyle w:val="ListParagraph"/>
        <w:numPr>
          <w:ilvl w:val="0"/>
          <w:numId w:val="21"/>
        </w:numPr>
      </w:pPr>
      <w:r>
        <w:t>International (cross-border) trade in waste or their materials</w:t>
      </w:r>
    </w:p>
    <w:p w14:paraId="762FA23C" w14:textId="77777777" w:rsidR="00740002" w:rsidRDefault="00AB1921" w:rsidP="003E4B57">
      <w:pPr>
        <w:pStyle w:val="ListParagraph"/>
        <w:numPr>
          <w:ilvl w:val="0"/>
          <w:numId w:val="21"/>
        </w:numPr>
      </w:pPr>
      <w:r>
        <w:t>Sewage treatment plants, waste dumps</w:t>
      </w:r>
    </w:p>
    <w:p w14:paraId="3EFFBF75" w14:textId="77777777" w:rsidR="00740002" w:rsidRDefault="00AB1921" w:rsidP="003E4B57">
      <w:pPr>
        <w:pStyle w:val="ListParagraph"/>
        <w:numPr>
          <w:ilvl w:val="0"/>
          <w:numId w:val="21"/>
        </w:numPr>
      </w:pPr>
      <w:r>
        <w:t>Tanks unloading oil without real certificates of International Maritime Organization,</w:t>
      </w:r>
    </w:p>
    <w:p w14:paraId="0F21FC81" w14:textId="77777777" w:rsidR="00740002" w:rsidRDefault="00AB1921" w:rsidP="003E4B57">
      <w:pPr>
        <w:pStyle w:val="ListParagraph"/>
        <w:numPr>
          <w:ilvl w:val="0"/>
          <w:numId w:val="21"/>
        </w:numPr>
      </w:pPr>
      <w:r>
        <w:t>Production and sale of nuclear resources and their spare parts,</w:t>
      </w:r>
    </w:p>
    <w:p w14:paraId="28B8CF23" w14:textId="77777777" w:rsidR="00740002" w:rsidRDefault="00AB1921" w:rsidP="003E4B57">
      <w:pPr>
        <w:pStyle w:val="ListParagraph"/>
        <w:numPr>
          <w:ilvl w:val="0"/>
          <w:numId w:val="21"/>
        </w:numPr>
      </w:pPr>
      <w:r>
        <w:t>Hazardous waste storage, recycling or disposal</w:t>
      </w:r>
    </w:p>
    <w:p w14:paraId="48875D6A" w14:textId="77777777" w:rsidR="00740002" w:rsidRDefault="00AB1921" w:rsidP="003E4B57">
      <w:pPr>
        <w:pStyle w:val="ListParagraph"/>
        <w:numPr>
          <w:ilvl w:val="0"/>
          <w:numId w:val="21"/>
        </w:numPr>
      </w:pPr>
      <w:r>
        <w:t>Release of genetically modified organisms into the natural environment and trade in those organisms</w:t>
      </w:r>
    </w:p>
    <w:p w14:paraId="485C7BA8" w14:textId="77777777" w:rsidR="00740002" w:rsidRDefault="00AB1921" w:rsidP="003E4B57">
      <w:pPr>
        <w:pStyle w:val="ListParagraph"/>
        <w:numPr>
          <w:ilvl w:val="0"/>
          <w:numId w:val="21"/>
        </w:numPr>
      </w:pPr>
      <w:r>
        <w:t>Construction or significant expansion of large dams and reservoirs, canals and water stations</w:t>
      </w:r>
    </w:p>
    <w:p w14:paraId="6D0C70DF" w14:textId="77777777" w:rsidR="00740002" w:rsidRDefault="00AB1921" w:rsidP="003E4B57">
      <w:pPr>
        <w:pStyle w:val="ListParagraph"/>
        <w:numPr>
          <w:ilvl w:val="0"/>
          <w:numId w:val="21"/>
        </w:numPr>
      </w:pPr>
      <w:r>
        <w:t>Cyanide processing of rock and debris for the extraction of precious metals</w:t>
      </w:r>
    </w:p>
    <w:p w14:paraId="5A263581" w14:textId="77777777" w:rsidR="00945D2A" w:rsidRDefault="00945D2A" w:rsidP="003E4B57">
      <w:pPr>
        <w:pStyle w:val="ListParagraph"/>
        <w:numPr>
          <w:ilvl w:val="0"/>
          <w:numId w:val="21"/>
        </w:numPr>
      </w:pPr>
      <w:r>
        <w:t>C</w:t>
      </w:r>
      <w:r w:rsidR="00AB1921">
        <w:t>ommercial timber harvesting (logging) mostly in tropical wet forests</w:t>
      </w:r>
    </w:p>
    <w:p w14:paraId="3C2E7D9B" w14:textId="77777777" w:rsidR="00945D2A" w:rsidRDefault="00AB1921" w:rsidP="003E4B57">
      <w:pPr>
        <w:pStyle w:val="ListParagraph"/>
        <w:numPr>
          <w:ilvl w:val="0"/>
          <w:numId w:val="21"/>
        </w:numPr>
      </w:pPr>
      <w:r>
        <w:t>Extraction and processing of coal, oil and natural gas</w:t>
      </w:r>
    </w:p>
    <w:p w14:paraId="4FBD2BA1" w14:textId="77777777" w:rsidR="00945D2A" w:rsidRDefault="00AB1921" w:rsidP="003E4B57">
      <w:pPr>
        <w:pStyle w:val="ListParagraph"/>
        <w:numPr>
          <w:ilvl w:val="0"/>
          <w:numId w:val="21"/>
        </w:numPr>
      </w:pPr>
      <w:r>
        <w:t>Creation and dissemination of anti-democratic and/or Nazi media</w:t>
      </w:r>
    </w:p>
    <w:p w14:paraId="03CB6176" w14:textId="6BD7C569" w:rsidR="00AB1921" w:rsidRDefault="00AB1921" w:rsidP="003E4B57">
      <w:pPr>
        <w:pStyle w:val="ListParagraph"/>
        <w:numPr>
          <w:ilvl w:val="0"/>
          <w:numId w:val="21"/>
        </w:numPr>
      </w:pPr>
      <w:r>
        <w:t>Activities that can cause damage to cultural and historical-cultural objects</w:t>
      </w:r>
    </w:p>
    <w:p w14:paraId="3F9C7217" w14:textId="29EC35B7" w:rsidR="004155D5" w:rsidRDefault="00E86932" w:rsidP="00604DB6">
      <w:r w:rsidRPr="005A3F27">
        <w:t>Furthermore, t</w:t>
      </w:r>
      <w:r w:rsidR="00FD33D9" w:rsidRPr="005A3F27">
        <w:t xml:space="preserve">he proceeds of </w:t>
      </w:r>
      <w:r w:rsidR="00FD33D9" w:rsidRPr="00945D2A">
        <w:rPr>
          <w:b/>
          <w:bCs/>
        </w:rPr>
        <w:t xml:space="preserve">the </w:t>
      </w:r>
      <w:r w:rsidR="00945D2A" w:rsidRPr="00945D2A">
        <w:rPr>
          <w:b/>
          <w:bCs/>
        </w:rPr>
        <w:t>Bank</w:t>
      </w:r>
      <w:r w:rsidR="00945D2A">
        <w:rPr>
          <w:b/>
          <w:bCs/>
        </w:rPr>
        <w:t xml:space="preserve">’s </w:t>
      </w:r>
      <w:r w:rsidR="00FD33D9" w:rsidRPr="005A3F27">
        <w:t xml:space="preserve">Green Bond will not be used to finance any infrastructure projects which demonstrate clear and substantive environmental and social risks which cannot be mitigated. </w:t>
      </w:r>
      <w:r w:rsidR="001B4C52" w:rsidRPr="001B4C52">
        <w:t xml:space="preserve">Generally speaking, the Bank will not support projects that intentionally degrade the natural environment, or involve the production of, or trade in, any product or activity deemed </w:t>
      </w:r>
      <w:r w:rsidR="001B4C52" w:rsidRPr="001B4C52">
        <w:lastRenderedPageBreak/>
        <w:t>illegal under host country laws or regulations or international conventions and agreements, or subject to international bans</w:t>
      </w:r>
      <w:r w:rsidR="001B4C52">
        <w:t>.</w:t>
      </w:r>
    </w:p>
    <w:p w14:paraId="65D586B8" w14:textId="77777777" w:rsidR="007040E3" w:rsidRPr="005A3F27" w:rsidRDefault="007040E3" w:rsidP="00604DB6"/>
    <w:p w14:paraId="1167B8A8" w14:textId="2643B93A" w:rsidR="00FD33D9" w:rsidRPr="005A3F27" w:rsidRDefault="00FD33D9" w:rsidP="00E779BF">
      <w:pPr>
        <w:pStyle w:val="Heading2"/>
      </w:pPr>
      <w:bookmarkStart w:id="53" w:name="_Toc104922164"/>
      <w:bookmarkStart w:id="54" w:name="_Toc109127508"/>
      <w:r w:rsidRPr="005A3F27">
        <w:t>Decision Making Process for Selection of Eligible Projects</w:t>
      </w:r>
      <w:bookmarkEnd w:id="53"/>
      <w:bookmarkEnd w:id="54"/>
    </w:p>
    <w:p w14:paraId="7A34B47D" w14:textId="52E05A51" w:rsidR="00A5452C" w:rsidRPr="005A3F27" w:rsidRDefault="00A5452C" w:rsidP="00B7307C">
      <w:r w:rsidRPr="005A3F27">
        <w:t>For</w:t>
      </w:r>
      <w:r w:rsidRPr="005A3F27">
        <w:rPr>
          <w:spacing w:val="-6"/>
        </w:rPr>
        <w:t xml:space="preserve"> </w:t>
      </w:r>
      <w:r w:rsidRPr="005A3F27">
        <w:t>each</w:t>
      </w:r>
      <w:r w:rsidRPr="005A3F27">
        <w:rPr>
          <w:spacing w:val="-6"/>
        </w:rPr>
        <w:t xml:space="preserve"> </w:t>
      </w:r>
      <w:r w:rsidRPr="005A3F27">
        <w:t>bond</w:t>
      </w:r>
      <w:r w:rsidRPr="005A3F27">
        <w:rPr>
          <w:spacing w:val="-7"/>
        </w:rPr>
        <w:t xml:space="preserve"> </w:t>
      </w:r>
      <w:r w:rsidRPr="005A3F27">
        <w:t>to</w:t>
      </w:r>
      <w:r w:rsidRPr="005A3F27">
        <w:rPr>
          <w:spacing w:val="-3"/>
        </w:rPr>
        <w:t xml:space="preserve"> </w:t>
      </w:r>
      <w:r w:rsidRPr="005A3F27">
        <w:t>which</w:t>
      </w:r>
      <w:r w:rsidRPr="005A3F27">
        <w:rPr>
          <w:spacing w:val="-9"/>
        </w:rPr>
        <w:t xml:space="preserve"> </w:t>
      </w:r>
      <w:r w:rsidRPr="005A3F27">
        <w:t>this</w:t>
      </w:r>
      <w:r w:rsidRPr="005A3F27">
        <w:rPr>
          <w:spacing w:val="-8"/>
        </w:rPr>
        <w:t xml:space="preserve"> </w:t>
      </w:r>
      <w:r w:rsidRPr="005A3F27">
        <w:t>Framework</w:t>
      </w:r>
      <w:r w:rsidRPr="005A3F27">
        <w:rPr>
          <w:spacing w:val="-4"/>
        </w:rPr>
        <w:t xml:space="preserve"> </w:t>
      </w:r>
      <w:r w:rsidRPr="005A3F27">
        <w:t>applies,</w:t>
      </w:r>
      <w:r w:rsidRPr="005A3F27">
        <w:rPr>
          <w:spacing w:val="-7"/>
        </w:rPr>
        <w:t xml:space="preserve"> </w:t>
      </w:r>
      <w:r w:rsidR="00B7307C">
        <w:t>t</w:t>
      </w:r>
      <w:r w:rsidR="007438E5" w:rsidRPr="005A3F27">
        <w:t xml:space="preserve">he Issuer </w:t>
      </w:r>
      <w:r w:rsidRPr="005A3F27">
        <w:t>will</w:t>
      </w:r>
      <w:r w:rsidRPr="005A3F27">
        <w:rPr>
          <w:spacing w:val="-5"/>
        </w:rPr>
        <w:t xml:space="preserve"> </w:t>
      </w:r>
      <w:r w:rsidRPr="005A3F27">
        <w:t>require</w:t>
      </w:r>
      <w:r w:rsidRPr="005A3F27">
        <w:rPr>
          <w:spacing w:val="-6"/>
        </w:rPr>
        <w:t xml:space="preserve"> </w:t>
      </w:r>
      <w:r w:rsidR="007438E5" w:rsidRPr="00B7307C">
        <w:rPr>
          <w:b/>
          <w:bCs/>
        </w:rPr>
        <w:t xml:space="preserve">the </w:t>
      </w:r>
      <w:r w:rsidR="00B7307C" w:rsidRPr="00B7307C">
        <w:rPr>
          <w:b/>
          <w:bCs/>
        </w:rPr>
        <w:t>Bank</w:t>
      </w:r>
      <w:r w:rsidR="00B7307C">
        <w:t xml:space="preserve"> </w:t>
      </w:r>
      <w:r w:rsidRPr="005A3F27">
        <w:t>to</w:t>
      </w:r>
      <w:r w:rsidRPr="005A3F27">
        <w:rPr>
          <w:spacing w:val="-4"/>
        </w:rPr>
        <w:t xml:space="preserve"> </w:t>
      </w:r>
      <w:r w:rsidRPr="005A3F27">
        <w:t>apply</w:t>
      </w:r>
      <w:r w:rsidRPr="005A3F27">
        <w:rPr>
          <w:spacing w:val="-4"/>
        </w:rPr>
        <w:t xml:space="preserve"> </w:t>
      </w:r>
      <w:r w:rsidRPr="005A3F27">
        <w:t>its</w:t>
      </w:r>
      <w:r w:rsidRPr="005A3F27">
        <w:rPr>
          <w:spacing w:val="-5"/>
        </w:rPr>
        <w:t xml:space="preserve"> </w:t>
      </w:r>
      <w:r w:rsidRPr="005A3F27">
        <w:t>criteria</w:t>
      </w:r>
      <w:r w:rsidRPr="005A3F27">
        <w:rPr>
          <w:spacing w:val="-6"/>
        </w:rPr>
        <w:t xml:space="preserve"> </w:t>
      </w:r>
      <w:r w:rsidRPr="005A3F27">
        <w:t>and</w:t>
      </w:r>
      <w:r w:rsidRPr="005A3F27">
        <w:rPr>
          <w:spacing w:val="-47"/>
        </w:rPr>
        <w:t xml:space="preserve"> </w:t>
      </w:r>
      <w:r w:rsidR="00D308C0">
        <w:rPr>
          <w:spacing w:val="-47"/>
        </w:rPr>
        <w:t xml:space="preserve"> </w:t>
      </w:r>
      <w:r w:rsidRPr="005A3F27">
        <w:t>process</w:t>
      </w:r>
      <w:r w:rsidRPr="005A3F27">
        <w:rPr>
          <w:spacing w:val="-4"/>
        </w:rPr>
        <w:t xml:space="preserve"> </w:t>
      </w:r>
      <w:r w:rsidRPr="005A3F27">
        <w:t>for</w:t>
      </w:r>
      <w:r w:rsidRPr="005A3F27">
        <w:rPr>
          <w:spacing w:val="-3"/>
        </w:rPr>
        <w:t xml:space="preserve"> </w:t>
      </w:r>
      <w:r w:rsidRPr="005A3F27">
        <w:t>the</w:t>
      </w:r>
      <w:r w:rsidRPr="005A3F27">
        <w:rPr>
          <w:spacing w:val="-2"/>
        </w:rPr>
        <w:t xml:space="preserve"> </w:t>
      </w:r>
      <w:r w:rsidRPr="005A3F27">
        <w:t>origination</w:t>
      </w:r>
      <w:r w:rsidRPr="005A3F27">
        <w:rPr>
          <w:spacing w:val="-3"/>
        </w:rPr>
        <w:t xml:space="preserve"> </w:t>
      </w:r>
      <w:r w:rsidRPr="005A3F27">
        <w:t>of</w:t>
      </w:r>
      <w:r w:rsidRPr="005A3F27">
        <w:rPr>
          <w:spacing w:val="2"/>
        </w:rPr>
        <w:t xml:space="preserve"> </w:t>
      </w:r>
      <w:r w:rsidRPr="005A3F27">
        <w:t>the</w:t>
      </w:r>
      <w:r w:rsidRPr="005A3F27">
        <w:rPr>
          <w:spacing w:val="-4"/>
        </w:rPr>
        <w:t xml:space="preserve"> </w:t>
      </w:r>
      <w:r w:rsidRPr="005A3F27">
        <w:t>respective</w:t>
      </w:r>
      <w:r w:rsidRPr="005A3F27">
        <w:rPr>
          <w:spacing w:val="1"/>
        </w:rPr>
        <w:t xml:space="preserve"> </w:t>
      </w:r>
      <w:r w:rsidRPr="005A3F27">
        <w:t>underlying loan,</w:t>
      </w:r>
      <w:r w:rsidRPr="005A3F27">
        <w:rPr>
          <w:spacing w:val="1"/>
        </w:rPr>
        <w:t xml:space="preserve"> </w:t>
      </w:r>
      <w:r w:rsidRPr="005A3F27">
        <w:t>as</w:t>
      </w:r>
      <w:r w:rsidRPr="005A3F27">
        <w:rPr>
          <w:spacing w:val="-3"/>
        </w:rPr>
        <w:t xml:space="preserve"> </w:t>
      </w:r>
      <w:r w:rsidRPr="005A3F27">
        <w:t>described</w:t>
      </w:r>
      <w:r w:rsidRPr="005A3F27">
        <w:rPr>
          <w:spacing w:val="-3"/>
        </w:rPr>
        <w:t xml:space="preserve"> </w:t>
      </w:r>
      <w:r w:rsidRPr="005A3F27">
        <w:t>below.</w:t>
      </w:r>
    </w:p>
    <w:p w14:paraId="52FD2502" w14:textId="16FBCA91" w:rsidR="00A5452C" w:rsidRDefault="00B7307C" w:rsidP="00B7307C">
      <w:r w:rsidRPr="00B7307C">
        <w:rPr>
          <w:b/>
          <w:bCs/>
        </w:rPr>
        <w:t>The Bank</w:t>
      </w:r>
      <w:r>
        <w:t xml:space="preserve"> </w:t>
      </w:r>
      <w:r w:rsidR="00A5452C" w:rsidRPr="005A3F27">
        <w:t xml:space="preserve">has formed a </w:t>
      </w:r>
      <w:r w:rsidR="007438E5" w:rsidRPr="007040E3">
        <w:rPr>
          <w:b/>
          <w:bCs/>
        </w:rPr>
        <w:t xml:space="preserve">Green and </w:t>
      </w:r>
      <w:r w:rsidR="00A5452C" w:rsidRPr="007040E3">
        <w:rPr>
          <w:b/>
          <w:bCs/>
        </w:rPr>
        <w:t>Sustainable Bond Committee (“The Committee”)</w:t>
      </w:r>
      <w:r w:rsidR="00A5452C" w:rsidRPr="005A3F27">
        <w:t xml:space="preserve"> which will be responsible</w:t>
      </w:r>
      <w:r w:rsidR="00A5452C" w:rsidRPr="005A3F27">
        <w:rPr>
          <w:spacing w:val="1"/>
        </w:rPr>
        <w:t xml:space="preserve"> </w:t>
      </w:r>
      <w:r w:rsidR="00A5452C" w:rsidRPr="005A3F27">
        <w:rPr>
          <w:spacing w:val="-1"/>
        </w:rPr>
        <w:t>for</w:t>
      </w:r>
      <w:r w:rsidR="00A5452C" w:rsidRPr="005A3F27">
        <w:rPr>
          <w:spacing w:val="-9"/>
        </w:rPr>
        <w:t xml:space="preserve"> </w:t>
      </w:r>
      <w:r w:rsidR="00D308C0">
        <w:rPr>
          <w:spacing w:val="-1"/>
        </w:rPr>
        <w:t>confirming</w:t>
      </w:r>
      <w:r w:rsidR="00A5452C" w:rsidRPr="005A3F27">
        <w:rPr>
          <w:spacing w:val="-10"/>
        </w:rPr>
        <w:t xml:space="preserve"> </w:t>
      </w:r>
      <w:r w:rsidR="00A5452C" w:rsidRPr="005A3F27">
        <w:rPr>
          <w:spacing w:val="-1"/>
        </w:rPr>
        <w:t>the</w:t>
      </w:r>
      <w:r w:rsidR="00A5452C" w:rsidRPr="005A3F27">
        <w:rPr>
          <w:spacing w:val="-9"/>
        </w:rPr>
        <w:t xml:space="preserve"> </w:t>
      </w:r>
      <w:r w:rsidR="00A5452C" w:rsidRPr="005A3F27">
        <w:t>selection</w:t>
      </w:r>
      <w:r w:rsidR="00A5452C" w:rsidRPr="005A3F27">
        <w:rPr>
          <w:spacing w:val="-13"/>
        </w:rPr>
        <w:t xml:space="preserve"> </w:t>
      </w:r>
      <w:r w:rsidR="00A5452C" w:rsidRPr="005A3F27">
        <w:t>of</w:t>
      </w:r>
      <w:r w:rsidR="00A5452C" w:rsidRPr="005A3F27">
        <w:rPr>
          <w:spacing w:val="-10"/>
        </w:rPr>
        <w:t xml:space="preserve"> </w:t>
      </w:r>
      <w:r w:rsidR="00A5452C" w:rsidRPr="005A3F27">
        <w:t>the</w:t>
      </w:r>
      <w:r w:rsidR="00A5452C" w:rsidRPr="005A3F27">
        <w:rPr>
          <w:spacing w:val="-11"/>
        </w:rPr>
        <w:t xml:space="preserve"> </w:t>
      </w:r>
      <w:r w:rsidR="00A5452C" w:rsidRPr="005A3F27">
        <w:t>borrowers</w:t>
      </w:r>
      <w:r w:rsidR="00A5452C" w:rsidRPr="005A3F27">
        <w:rPr>
          <w:spacing w:val="-8"/>
        </w:rPr>
        <w:t xml:space="preserve"> </w:t>
      </w:r>
      <w:r w:rsidR="00A5452C" w:rsidRPr="005A3F27">
        <w:t>and</w:t>
      </w:r>
      <w:r w:rsidR="00A5452C" w:rsidRPr="005A3F27">
        <w:rPr>
          <w:spacing w:val="-13"/>
        </w:rPr>
        <w:t xml:space="preserve"> </w:t>
      </w:r>
      <w:r w:rsidR="00A5452C" w:rsidRPr="005A3F27">
        <w:t>the</w:t>
      </w:r>
      <w:r w:rsidR="00A5452C" w:rsidRPr="005A3F27">
        <w:rPr>
          <w:spacing w:val="-9"/>
        </w:rPr>
        <w:t xml:space="preserve"> </w:t>
      </w:r>
      <w:r w:rsidR="00A5452C" w:rsidRPr="005A3F27">
        <w:t>criteria</w:t>
      </w:r>
      <w:r w:rsidR="00A5452C" w:rsidRPr="005A3F27">
        <w:rPr>
          <w:spacing w:val="-12"/>
        </w:rPr>
        <w:t xml:space="preserve"> </w:t>
      </w:r>
      <w:r w:rsidR="00A5452C" w:rsidRPr="005A3F27">
        <w:t>of</w:t>
      </w:r>
      <w:r w:rsidR="00A5452C" w:rsidRPr="005A3F27">
        <w:rPr>
          <w:spacing w:val="-10"/>
        </w:rPr>
        <w:t xml:space="preserve"> </w:t>
      </w:r>
      <w:r w:rsidR="00A5452C" w:rsidRPr="005A3F27">
        <w:t>Eligible</w:t>
      </w:r>
      <w:r w:rsidR="00A5452C" w:rsidRPr="005A3F27">
        <w:rPr>
          <w:spacing w:val="-9"/>
        </w:rPr>
        <w:t xml:space="preserve"> </w:t>
      </w:r>
      <w:r w:rsidR="007438E5" w:rsidRPr="005A3F27">
        <w:t>Sustainable</w:t>
      </w:r>
      <w:r w:rsidR="00A5452C" w:rsidRPr="005A3F27">
        <w:rPr>
          <w:spacing w:val="-12"/>
        </w:rPr>
        <w:t xml:space="preserve"> </w:t>
      </w:r>
      <w:r w:rsidR="00A5452C" w:rsidRPr="005A3F27">
        <w:t>Projects</w:t>
      </w:r>
      <w:r w:rsidR="00A5452C" w:rsidRPr="005A3F27">
        <w:rPr>
          <w:spacing w:val="-10"/>
        </w:rPr>
        <w:t xml:space="preserve"> </w:t>
      </w:r>
      <w:r w:rsidR="00A5452C" w:rsidRPr="005A3F27">
        <w:t>or</w:t>
      </w:r>
      <w:r w:rsidR="00A5452C" w:rsidRPr="005A3F27">
        <w:rPr>
          <w:spacing w:val="-9"/>
        </w:rPr>
        <w:t xml:space="preserve"> </w:t>
      </w:r>
      <w:r w:rsidR="00A5452C" w:rsidRPr="005A3F27">
        <w:t>Eligible</w:t>
      </w:r>
      <w:r w:rsidR="00A5452C" w:rsidRPr="005A3F27">
        <w:rPr>
          <w:spacing w:val="-11"/>
        </w:rPr>
        <w:t xml:space="preserve"> </w:t>
      </w:r>
      <w:r w:rsidR="00A5452C" w:rsidRPr="005A3F27">
        <w:t>Green</w:t>
      </w:r>
      <w:r w:rsidR="00A5452C" w:rsidRPr="005A3F27">
        <w:rPr>
          <w:spacing w:val="-47"/>
        </w:rPr>
        <w:t xml:space="preserve"> </w:t>
      </w:r>
      <w:r w:rsidR="00A5452C" w:rsidRPr="005A3F27">
        <w:t>Projects associated to the loan to be granted to such borrower</w:t>
      </w:r>
      <w:r w:rsidR="00EA6B9C">
        <w:rPr>
          <w:lang w:val="hy-AM"/>
        </w:rPr>
        <w:t xml:space="preserve">, </w:t>
      </w:r>
      <w:r w:rsidR="00EA6B9C">
        <w:rPr>
          <w:lang w:val="en-US"/>
        </w:rPr>
        <w:t xml:space="preserve">if the investment exceeds </w:t>
      </w:r>
      <w:r w:rsidR="007362EE">
        <w:rPr>
          <w:lang w:val="en-US"/>
        </w:rPr>
        <w:t>AMD 250,000,000</w:t>
      </w:r>
      <w:r w:rsidR="00E47F67">
        <w:rPr>
          <w:lang w:val="en-US"/>
        </w:rPr>
        <w:t xml:space="preserve"> or equivalent other currency</w:t>
      </w:r>
      <w:r w:rsidR="00A5452C" w:rsidRPr="005A3F27">
        <w:t>. The Committee makes its decision on</w:t>
      </w:r>
      <w:r w:rsidR="007438E5" w:rsidRPr="005A3F27">
        <w:t xml:space="preserve"> </w:t>
      </w:r>
      <w:r w:rsidR="00A5452C" w:rsidRPr="005A3F27">
        <w:rPr>
          <w:spacing w:val="-48"/>
        </w:rPr>
        <w:t xml:space="preserve"> </w:t>
      </w:r>
      <w:r w:rsidR="00A5452C" w:rsidRPr="005A3F27">
        <w:t>a majority basis and consists of 3 members, representatives are one member of the (i) General</w:t>
      </w:r>
      <w:r w:rsidR="00A5452C" w:rsidRPr="005A3F27">
        <w:rPr>
          <w:spacing w:val="1"/>
        </w:rPr>
        <w:t xml:space="preserve"> </w:t>
      </w:r>
      <w:r w:rsidR="00A5452C" w:rsidRPr="005A3F27">
        <w:t>Management (Managing or Executive Director), (ii) Risk and compliance division and (iii) an internal</w:t>
      </w:r>
      <w:r w:rsidR="00A5452C" w:rsidRPr="005A3F27">
        <w:rPr>
          <w:spacing w:val="1"/>
        </w:rPr>
        <w:t xml:space="preserve"> </w:t>
      </w:r>
      <w:r w:rsidR="00A5452C" w:rsidRPr="005A3F27">
        <w:t>ESG</w:t>
      </w:r>
      <w:r w:rsidR="00A5452C" w:rsidRPr="005A3F27">
        <w:rPr>
          <w:spacing w:val="-1"/>
        </w:rPr>
        <w:t xml:space="preserve"> </w:t>
      </w:r>
      <w:r w:rsidR="00A5452C" w:rsidRPr="005A3F27">
        <w:t>or</w:t>
      </w:r>
      <w:r w:rsidR="00A5452C" w:rsidRPr="005A3F27">
        <w:rPr>
          <w:spacing w:val="-3"/>
        </w:rPr>
        <w:t xml:space="preserve"> </w:t>
      </w:r>
      <w:r w:rsidR="00A5452C" w:rsidRPr="005A3F27">
        <w:t>impact expert.</w:t>
      </w:r>
    </w:p>
    <w:p w14:paraId="7F10027D" w14:textId="0BFAE4CA" w:rsidR="00B7307C" w:rsidRPr="005A3F27" w:rsidRDefault="00B7307C" w:rsidP="00B7307C">
      <w:r w:rsidRPr="005B0835">
        <w:t xml:space="preserve">In the case of investments under </w:t>
      </w:r>
      <w:r w:rsidR="007362EE" w:rsidRPr="005B0835">
        <w:t>AMD</w:t>
      </w:r>
      <w:r w:rsidRPr="005B0835">
        <w:t xml:space="preserve"> </w:t>
      </w:r>
      <w:r w:rsidR="007362EE" w:rsidRPr="005B0835">
        <w:t>250,0</w:t>
      </w:r>
      <w:r w:rsidRPr="005B0835">
        <w:t>00,000</w:t>
      </w:r>
      <w:r w:rsidR="00E47F67" w:rsidRPr="005B0835">
        <w:rPr>
          <w:lang w:val="hy-AM"/>
        </w:rPr>
        <w:t xml:space="preserve"> </w:t>
      </w:r>
      <w:r w:rsidR="00E47F67" w:rsidRPr="005B0835">
        <w:rPr>
          <w:lang w:val="en-US"/>
        </w:rPr>
        <w:t>or equivalent other currency</w:t>
      </w:r>
      <w:r w:rsidRPr="005B0835">
        <w:t>, eligible projects will be screened via the use of the check-list developed as part of the process (see related excel sheet for specific screening questions per sector).</w:t>
      </w:r>
    </w:p>
    <w:p w14:paraId="54819278" w14:textId="77777777" w:rsidR="00A5452C" w:rsidRPr="005A3F27" w:rsidRDefault="00A5452C" w:rsidP="00BB407F">
      <w:pPr>
        <w:pStyle w:val="BodyText"/>
        <w:spacing w:before="158" w:line="259" w:lineRule="auto"/>
        <w:ind w:right="114"/>
      </w:pPr>
      <w:r w:rsidRPr="005A3F27">
        <w:t>The</w:t>
      </w:r>
      <w:r w:rsidRPr="005A3F27">
        <w:rPr>
          <w:spacing w:val="-2"/>
        </w:rPr>
        <w:t xml:space="preserve"> </w:t>
      </w:r>
      <w:r w:rsidRPr="005A3F27">
        <w:t>Committee</w:t>
      </w:r>
      <w:r w:rsidRPr="005A3F27">
        <w:rPr>
          <w:spacing w:val="-3"/>
        </w:rPr>
        <w:t xml:space="preserve"> </w:t>
      </w:r>
      <w:r w:rsidRPr="005A3F27">
        <w:t>will</w:t>
      </w:r>
      <w:r w:rsidRPr="005A3F27">
        <w:rPr>
          <w:spacing w:val="-6"/>
        </w:rPr>
        <w:t xml:space="preserve"> </w:t>
      </w:r>
      <w:r w:rsidRPr="005A3F27">
        <w:t>meet prior</w:t>
      </w:r>
      <w:r w:rsidRPr="005A3F27">
        <w:rPr>
          <w:spacing w:val="-3"/>
        </w:rPr>
        <w:t xml:space="preserve"> </w:t>
      </w:r>
      <w:r w:rsidRPr="005A3F27">
        <w:t>to</w:t>
      </w:r>
      <w:r w:rsidRPr="005A3F27">
        <w:rPr>
          <w:spacing w:val="-2"/>
        </w:rPr>
        <w:t xml:space="preserve"> </w:t>
      </w:r>
      <w:r w:rsidRPr="005A3F27">
        <w:t>the</w:t>
      </w:r>
      <w:r w:rsidRPr="005A3F27">
        <w:rPr>
          <w:spacing w:val="-1"/>
        </w:rPr>
        <w:t xml:space="preserve"> </w:t>
      </w:r>
      <w:r w:rsidRPr="005A3F27">
        <w:t>issuance</w:t>
      </w:r>
      <w:r w:rsidRPr="005A3F27">
        <w:rPr>
          <w:spacing w:val="-5"/>
        </w:rPr>
        <w:t xml:space="preserve"> </w:t>
      </w:r>
      <w:r w:rsidRPr="005A3F27">
        <w:t>of</w:t>
      </w:r>
      <w:r w:rsidRPr="005A3F27">
        <w:rPr>
          <w:spacing w:val="-1"/>
        </w:rPr>
        <w:t xml:space="preserve"> </w:t>
      </w:r>
      <w:r w:rsidRPr="005A3F27">
        <w:t>any</w:t>
      </w:r>
      <w:r w:rsidRPr="005A3F27">
        <w:rPr>
          <w:spacing w:val="-2"/>
        </w:rPr>
        <w:t xml:space="preserve"> </w:t>
      </w:r>
      <w:r w:rsidRPr="005A3F27">
        <w:t>Sustainable</w:t>
      </w:r>
      <w:r w:rsidRPr="005A3F27">
        <w:rPr>
          <w:spacing w:val="-1"/>
        </w:rPr>
        <w:t xml:space="preserve"> </w:t>
      </w:r>
      <w:r w:rsidRPr="005A3F27">
        <w:t>Bond</w:t>
      </w:r>
      <w:r w:rsidRPr="005A3F27">
        <w:rPr>
          <w:spacing w:val="-2"/>
        </w:rPr>
        <w:t xml:space="preserve"> </w:t>
      </w:r>
      <w:r w:rsidRPr="005A3F27">
        <w:t>and,</w:t>
      </w:r>
      <w:r w:rsidRPr="005A3F27">
        <w:rPr>
          <w:spacing w:val="-4"/>
        </w:rPr>
        <w:t xml:space="preserve"> </w:t>
      </w:r>
      <w:r w:rsidRPr="005A3F27">
        <w:t>in</w:t>
      </w:r>
      <w:r w:rsidRPr="005A3F27">
        <w:rPr>
          <w:spacing w:val="-5"/>
        </w:rPr>
        <w:t xml:space="preserve"> </w:t>
      </w:r>
      <w:r w:rsidRPr="005A3F27">
        <w:t>case</w:t>
      </w:r>
      <w:r w:rsidRPr="005A3F27">
        <w:rPr>
          <w:spacing w:val="-3"/>
        </w:rPr>
        <w:t xml:space="preserve"> </w:t>
      </w:r>
      <w:r w:rsidRPr="005A3F27">
        <w:t>of</w:t>
      </w:r>
      <w:r w:rsidRPr="005A3F27">
        <w:rPr>
          <w:spacing w:val="-4"/>
        </w:rPr>
        <w:t xml:space="preserve"> </w:t>
      </w:r>
      <w:r w:rsidRPr="005A3F27">
        <w:t>a</w:t>
      </w:r>
      <w:r w:rsidRPr="005A3F27">
        <w:rPr>
          <w:spacing w:val="-3"/>
        </w:rPr>
        <w:t xml:space="preserve"> </w:t>
      </w:r>
      <w:r w:rsidRPr="005A3F27">
        <w:t>Basket</w:t>
      </w:r>
      <w:r w:rsidRPr="005A3F27">
        <w:rPr>
          <w:spacing w:val="-4"/>
        </w:rPr>
        <w:t xml:space="preserve"> </w:t>
      </w:r>
      <w:r w:rsidRPr="005A3F27">
        <w:t>Bond,</w:t>
      </w:r>
      <w:r w:rsidRPr="005A3F27">
        <w:rPr>
          <w:spacing w:val="-47"/>
        </w:rPr>
        <w:t xml:space="preserve"> </w:t>
      </w:r>
      <w:r w:rsidRPr="005A3F27">
        <w:t>prior</w:t>
      </w:r>
      <w:r w:rsidRPr="005A3F27">
        <w:rPr>
          <w:spacing w:val="-1"/>
        </w:rPr>
        <w:t xml:space="preserve"> </w:t>
      </w:r>
      <w:r w:rsidRPr="005A3F27">
        <w:t>to</w:t>
      </w:r>
      <w:r w:rsidRPr="005A3F27">
        <w:rPr>
          <w:spacing w:val="1"/>
        </w:rPr>
        <w:t xml:space="preserve"> </w:t>
      </w:r>
      <w:r w:rsidRPr="005A3F27">
        <w:t>the</w:t>
      </w:r>
      <w:r w:rsidRPr="005A3F27">
        <w:rPr>
          <w:spacing w:val="1"/>
        </w:rPr>
        <w:t xml:space="preserve"> </w:t>
      </w:r>
      <w:r w:rsidRPr="005A3F27">
        <w:t>finalisation</w:t>
      </w:r>
      <w:r w:rsidRPr="005A3F27">
        <w:rPr>
          <w:spacing w:val="-3"/>
        </w:rPr>
        <w:t xml:space="preserve"> </w:t>
      </w:r>
      <w:r w:rsidRPr="005A3F27">
        <w:t>of</w:t>
      </w:r>
      <w:r w:rsidRPr="005A3F27">
        <w:rPr>
          <w:spacing w:val="-1"/>
        </w:rPr>
        <w:t xml:space="preserve"> </w:t>
      </w:r>
      <w:r w:rsidRPr="005A3F27">
        <w:t>an</w:t>
      </w:r>
      <w:r w:rsidRPr="005A3F27">
        <w:rPr>
          <w:spacing w:val="-1"/>
        </w:rPr>
        <w:t xml:space="preserve"> </w:t>
      </w:r>
      <w:r w:rsidRPr="005A3F27">
        <w:t>underlying Sustainable Loan.</w:t>
      </w:r>
    </w:p>
    <w:p w14:paraId="7BF57A27" w14:textId="43C92C3A" w:rsidR="00A5452C" w:rsidRPr="005A3F27" w:rsidRDefault="00A5452C" w:rsidP="00E779BF">
      <w:pPr>
        <w:pStyle w:val="BodyText"/>
        <w:spacing w:before="162"/>
      </w:pPr>
      <w:r w:rsidRPr="005A3F27">
        <w:t>This</w:t>
      </w:r>
      <w:r w:rsidRPr="005A3F27">
        <w:rPr>
          <w:spacing w:val="24"/>
        </w:rPr>
        <w:t xml:space="preserve"> </w:t>
      </w:r>
      <w:r w:rsidRPr="005A3F27">
        <w:t>assessment</w:t>
      </w:r>
      <w:r w:rsidRPr="005A3F27">
        <w:rPr>
          <w:spacing w:val="23"/>
        </w:rPr>
        <w:t xml:space="preserve"> </w:t>
      </w:r>
      <w:r w:rsidRPr="005A3F27">
        <w:t>takes</w:t>
      </w:r>
      <w:r w:rsidRPr="005A3F27">
        <w:rPr>
          <w:spacing w:val="22"/>
        </w:rPr>
        <w:t xml:space="preserve"> </w:t>
      </w:r>
      <w:r w:rsidRPr="005A3F27">
        <w:t>into</w:t>
      </w:r>
      <w:r w:rsidRPr="005A3F27">
        <w:rPr>
          <w:spacing w:val="24"/>
        </w:rPr>
        <w:t xml:space="preserve"> </w:t>
      </w:r>
      <w:r w:rsidRPr="005A3F27">
        <w:t>account</w:t>
      </w:r>
      <w:r w:rsidRPr="005A3F27">
        <w:rPr>
          <w:spacing w:val="23"/>
        </w:rPr>
        <w:t xml:space="preserve"> </w:t>
      </w:r>
      <w:r w:rsidRPr="005A3F27">
        <w:t>a</w:t>
      </w:r>
      <w:r w:rsidRPr="005A3F27">
        <w:rPr>
          <w:spacing w:val="25"/>
        </w:rPr>
        <w:t xml:space="preserve"> </w:t>
      </w:r>
      <w:r w:rsidRPr="005A3F27">
        <w:t>number</w:t>
      </w:r>
      <w:r w:rsidRPr="005A3F27">
        <w:rPr>
          <w:spacing w:val="23"/>
        </w:rPr>
        <w:t xml:space="preserve"> </w:t>
      </w:r>
      <w:r w:rsidRPr="005A3F27">
        <w:t>of</w:t>
      </w:r>
      <w:r w:rsidRPr="005A3F27">
        <w:rPr>
          <w:spacing w:val="22"/>
        </w:rPr>
        <w:t xml:space="preserve"> </w:t>
      </w:r>
      <w:r w:rsidRPr="005A3F27">
        <w:t>quantitative</w:t>
      </w:r>
      <w:r w:rsidRPr="005A3F27">
        <w:rPr>
          <w:spacing w:val="26"/>
        </w:rPr>
        <w:t xml:space="preserve"> </w:t>
      </w:r>
      <w:r w:rsidRPr="005A3F27">
        <w:t>and</w:t>
      </w:r>
      <w:r w:rsidRPr="005A3F27">
        <w:rPr>
          <w:spacing w:val="22"/>
        </w:rPr>
        <w:t xml:space="preserve"> </w:t>
      </w:r>
      <w:r w:rsidRPr="005A3F27">
        <w:t>qualitative</w:t>
      </w:r>
      <w:r w:rsidRPr="005A3F27">
        <w:rPr>
          <w:spacing w:val="20"/>
        </w:rPr>
        <w:t xml:space="preserve"> </w:t>
      </w:r>
      <w:r w:rsidRPr="005A3F27">
        <w:t>measures</w:t>
      </w:r>
      <w:r w:rsidRPr="005A3F27">
        <w:rPr>
          <w:spacing w:val="23"/>
        </w:rPr>
        <w:t xml:space="preserve"> </w:t>
      </w:r>
      <w:r w:rsidRPr="005A3F27">
        <w:t>applied</w:t>
      </w:r>
      <w:r w:rsidRPr="005A3F27">
        <w:rPr>
          <w:spacing w:val="25"/>
        </w:rPr>
        <w:t xml:space="preserve"> </w:t>
      </w:r>
      <w:r w:rsidRPr="005A3F27">
        <w:t>by</w:t>
      </w:r>
      <w:r w:rsidR="00C272E5" w:rsidRPr="005A3F27">
        <w:t xml:space="preserve"> </w:t>
      </w:r>
      <w:r w:rsidR="00C272E5" w:rsidRPr="00945D2A">
        <w:rPr>
          <w:b/>
          <w:bCs/>
        </w:rPr>
        <w:t xml:space="preserve">the </w:t>
      </w:r>
      <w:r w:rsidR="00945D2A" w:rsidRPr="00945D2A">
        <w:rPr>
          <w:b/>
          <w:bCs/>
        </w:rPr>
        <w:t>Bank’s</w:t>
      </w:r>
      <w:r w:rsidRPr="005A3F27">
        <w:rPr>
          <w:spacing w:val="-3"/>
        </w:rPr>
        <w:t xml:space="preserve"> </w:t>
      </w:r>
      <w:r w:rsidRPr="005A3F27">
        <w:t>Markets Analysts,</w:t>
      </w:r>
      <w:r w:rsidRPr="005A3F27">
        <w:rPr>
          <w:spacing w:val="-1"/>
        </w:rPr>
        <w:t xml:space="preserve"> </w:t>
      </w:r>
      <w:r w:rsidRPr="005A3F27">
        <w:t>Investments</w:t>
      </w:r>
      <w:r w:rsidRPr="005A3F27">
        <w:rPr>
          <w:spacing w:val="-4"/>
        </w:rPr>
        <w:t xml:space="preserve"> </w:t>
      </w:r>
      <w:r w:rsidRPr="005A3F27">
        <w:t>Analysts</w:t>
      </w:r>
      <w:r w:rsidRPr="005A3F27">
        <w:rPr>
          <w:spacing w:val="-1"/>
        </w:rPr>
        <w:t xml:space="preserve"> </w:t>
      </w:r>
      <w:r w:rsidRPr="005A3F27">
        <w:t>and</w:t>
      </w:r>
      <w:r w:rsidRPr="005A3F27">
        <w:rPr>
          <w:spacing w:val="-2"/>
        </w:rPr>
        <w:t xml:space="preserve"> </w:t>
      </w:r>
      <w:r w:rsidRPr="005A3F27">
        <w:t>external</w:t>
      </w:r>
      <w:r w:rsidRPr="005A3F27">
        <w:rPr>
          <w:spacing w:val="-1"/>
        </w:rPr>
        <w:t xml:space="preserve"> </w:t>
      </w:r>
      <w:r w:rsidRPr="005A3F27">
        <w:t>specialists</w:t>
      </w:r>
      <w:r w:rsidRPr="005A3F27">
        <w:rPr>
          <w:spacing w:val="-4"/>
        </w:rPr>
        <w:t xml:space="preserve"> </w:t>
      </w:r>
      <w:r w:rsidRPr="005A3F27">
        <w:t>where necessary.</w:t>
      </w:r>
    </w:p>
    <w:p w14:paraId="5323C9D1" w14:textId="7DEA1A6C" w:rsidR="00FD33D9" w:rsidRPr="005A3F27" w:rsidRDefault="00FD33D9" w:rsidP="00BB407F">
      <w:r w:rsidRPr="007A2F12">
        <w:rPr>
          <w:b/>
          <w:bCs/>
        </w:rPr>
        <w:t xml:space="preserve">The </w:t>
      </w:r>
      <w:r w:rsidR="007A2F12" w:rsidRPr="007A2F12">
        <w:rPr>
          <w:b/>
          <w:bCs/>
        </w:rPr>
        <w:t>Bank</w:t>
      </w:r>
      <w:r w:rsidRPr="005A3F27">
        <w:t xml:space="preserve"> applies an integrated environmental, social, economic, financial and sector assessment of each of the proposed projects. Projects are screened according to</w:t>
      </w:r>
      <w:r w:rsidR="00643AE0">
        <w:t xml:space="preserve"> the</w:t>
      </w:r>
      <w:r w:rsidRPr="005A3F27">
        <w:t xml:space="preserve"> </w:t>
      </w:r>
      <w:r w:rsidR="005B0835" w:rsidRPr="005B0835">
        <w:t>Bank’s Environmental and Social Safeguard Standards</w:t>
      </w:r>
      <w:r w:rsidR="005B0835">
        <w:rPr>
          <w:rStyle w:val="FootnoteReference"/>
        </w:rPr>
        <w:footnoteReference w:id="17"/>
      </w:r>
      <w:r w:rsidR="005B0835">
        <w:t xml:space="preserve">. </w:t>
      </w:r>
    </w:p>
    <w:p w14:paraId="1F022707" w14:textId="23FABCD8" w:rsidR="00FD33D9" w:rsidRPr="005A3F27" w:rsidRDefault="007A2F12" w:rsidP="00BB407F">
      <w:r w:rsidRPr="007A2F12">
        <w:rPr>
          <w:b/>
          <w:bCs/>
        </w:rPr>
        <w:t xml:space="preserve">The Bank </w:t>
      </w:r>
      <w:r w:rsidR="00FD33D9" w:rsidRPr="005A3F27">
        <w:t>has a well-established set of tools and procedures to classify green operations and assess and monitor environmental and social projects, supported by internationally accredited environmental and social safeguards standards which align with the legislation in all of the jurisdictions in which the Bank operates.</w:t>
      </w:r>
    </w:p>
    <w:p w14:paraId="309FF1B0" w14:textId="473C6800" w:rsidR="00FD33D9" w:rsidRPr="005A3F27" w:rsidRDefault="00FD33D9" w:rsidP="00B7307C">
      <w:r w:rsidRPr="007A2F12">
        <w:rPr>
          <w:b/>
          <w:bCs/>
        </w:rPr>
        <w:t xml:space="preserve">The Bank </w:t>
      </w:r>
      <w:r w:rsidRPr="005A3F27">
        <w:t>has a constantly evolving pipeline of projects which will align to the Green Bond Principles and the Climate Bonds Initiative (CBI)</w:t>
      </w:r>
      <w:r w:rsidR="009C1DCD">
        <w:t xml:space="preserve"> – and is in line with the EU Taxonomy for </w:t>
      </w:r>
      <w:r w:rsidR="009C1DCD" w:rsidRPr="009C1DCD">
        <w:t>sustainable activities</w:t>
      </w:r>
      <w:r w:rsidRPr="005A3F27">
        <w:t>.</w:t>
      </w:r>
    </w:p>
    <w:p w14:paraId="03CBBD93" w14:textId="190497C6" w:rsidR="00FD33D9" w:rsidRDefault="00971D7F" w:rsidP="00B7307C">
      <w:r w:rsidRPr="005A3F27">
        <w:t xml:space="preserve">Eligible projects for the Green Bond Programme are evaluated against the </w:t>
      </w:r>
      <w:r w:rsidR="007A2F12">
        <w:t xml:space="preserve">Bank’s </w:t>
      </w:r>
      <w:r w:rsidRPr="005A3F27">
        <w:t xml:space="preserve">Credit Lifecycle and due diligence procedures. With the assistance of the dedicate Bank Environmental and Social Sustainability team and in close coordination with the Bank Treasury, eligible green projects are assessed for inclusion in the Banks portfolio of projects to be considered for Green Bond financing. </w:t>
      </w:r>
      <w:r w:rsidR="009C1DCD">
        <w:t xml:space="preserve">The following figure outlines the processes for investments over </w:t>
      </w:r>
      <w:r w:rsidR="006402FF">
        <w:t>AMD 250,000,000 (or equivalent other currency)</w:t>
      </w:r>
      <w:r w:rsidR="009C1DCD">
        <w:t>. For smaller investments, a screening and tracking tool for retail bankers has been developed</w:t>
      </w:r>
      <w:r w:rsidR="003F0CC1">
        <w:t xml:space="preserve"> in line with the requirements of the use of proceeds</w:t>
      </w:r>
      <w:r w:rsidR="009C1DCD">
        <w:t>.</w:t>
      </w:r>
    </w:p>
    <w:p w14:paraId="4E951CEB" w14:textId="77777777" w:rsidR="003F0CC1" w:rsidRPr="005A3F27" w:rsidRDefault="003F0CC1" w:rsidP="00B7307C"/>
    <w:p w14:paraId="2BD4F4DC" w14:textId="4E2E6B7E" w:rsidR="00FD33D9" w:rsidRPr="005A3F27" w:rsidRDefault="00FD33D9" w:rsidP="007A2F12">
      <w:pPr>
        <w:pStyle w:val="Caption"/>
      </w:pPr>
    </w:p>
    <w:p w14:paraId="2007A6E9" w14:textId="77777777" w:rsidR="002A1904" w:rsidRPr="005A3F27" w:rsidRDefault="002A1904" w:rsidP="007A2F12">
      <w:pPr>
        <w:pStyle w:val="Graph"/>
        <w:jc w:val="both"/>
      </w:pPr>
    </w:p>
    <w:p w14:paraId="37296CEF" w14:textId="65DE9178" w:rsidR="009B1942" w:rsidRDefault="00D13A4B" w:rsidP="00FD33D9">
      <w:r w:rsidRPr="005A3F27">
        <w:rPr>
          <w:noProof/>
        </w:rPr>
        <mc:AlternateContent>
          <mc:Choice Requires="wps">
            <w:drawing>
              <wp:anchor distT="0" distB="0" distL="114300" distR="114300" simplePos="0" relativeHeight="251735040" behindDoc="0" locked="0" layoutInCell="1" allowOverlap="1" wp14:anchorId="3BF6B78E" wp14:editId="7BCE819A">
                <wp:simplePos x="0" y="0"/>
                <wp:positionH relativeFrom="column">
                  <wp:posOffset>1284605</wp:posOffset>
                </wp:positionH>
                <wp:positionV relativeFrom="paragraph">
                  <wp:posOffset>2552700</wp:posOffset>
                </wp:positionV>
                <wp:extent cx="2005781" cy="688258"/>
                <wp:effectExtent l="12700" t="12700" r="13970" b="10795"/>
                <wp:wrapNone/>
                <wp:docPr id="2" name="Rectangle : coins arrondis 2"/>
                <wp:cNvGraphicFramePr/>
                <a:graphic xmlns:a="http://schemas.openxmlformats.org/drawingml/2006/main">
                  <a:graphicData uri="http://schemas.microsoft.com/office/word/2010/wordprocessingShape">
                    <wps:wsp>
                      <wps:cNvSpPr/>
                      <wps:spPr>
                        <a:xfrm>
                          <a:off x="0" y="0"/>
                          <a:ext cx="2005781" cy="688258"/>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6819427" w14:textId="77777777" w:rsidR="00D13A4B" w:rsidRPr="00B31A86" w:rsidRDefault="00D13A4B" w:rsidP="00D13A4B">
                            <w:pPr>
                              <w:jc w:val="center"/>
                              <w:rPr>
                                <w:rFonts w:asciiTheme="minorHAnsi" w:hAnsiTheme="minorHAnsi"/>
                                <w:szCs w:val="22"/>
                                <w:lang w:val="en-US"/>
                              </w:rPr>
                            </w:pPr>
                            <w:r w:rsidRPr="00B31A86">
                              <w:rPr>
                                <w:rFonts w:asciiTheme="minorHAnsi" w:hAnsiTheme="minorHAnsi"/>
                                <w:szCs w:val="22"/>
                                <w:lang w:val="en-US"/>
                              </w:rPr>
                              <w:t xml:space="preserve">Selection of green projects for green bond eligibility </w:t>
                            </w:r>
                          </w:p>
                          <w:p w14:paraId="241D6380" w14:textId="77777777" w:rsidR="00D13A4B" w:rsidRPr="00002874" w:rsidRDefault="00D13A4B" w:rsidP="00D13A4B">
                            <w:pPr>
                              <w:jc w:val="center"/>
                              <w:rPr>
                                <w:szCs w:val="22"/>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F6B78E" id="Rectangle : coins arrondis 2" o:spid="_x0000_s1026" style="position:absolute;left:0;text-align:left;margin-left:101.15pt;margin-top:201pt;width:157.95pt;height:54.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" fillcolor="#71a084 [3204]" strokecolor="#365141 [1604]" strokeweight="2pt">
                <v:textbox>
                  <w:txbxContent>
                    <w:p w14:paraId="36819427" w14:textId="77777777" w:rsidR="00D13A4B" w:rsidRPr="00B31A86" w:rsidRDefault="00D13A4B" w:rsidP="00D13A4B">
                      <w:pPr>
                        <w:jc w:val="center"/>
                        <w:rPr>
                          <w:rFonts w:asciiTheme="minorHAnsi" w:hAnsiTheme="minorHAnsi"/>
                          <w:szCs w:val="22"/>
                          <w:lang w:val="en-US"/>
                        </w:rPr>
                      </w:pPr>
                      <w:r w:rsidRPr="00B31A86">
                        <w:rPr>
                          <w:rFonts w:asciiTheme="minorHAnsi" w:hAnsiTheme="minorHAnsi"/>
                          <w:szCs w:val="22"/>
                          <w:lang w:val="en-US"/>
                        </w:rPr>
                        <w:t xml:space="preserve">Selection of green projects for green bond eligibility </w:t>
                      </w:r>
                    </w:p>
                    <w:p w14:paraId="241D6380" w14:textId="77777777" w:rsidR="00D13A4B" w:rsidRPr="00002874" w:rsidRDefault="00D13A4B" w:rsidP="00D13A4B">
                      <w:pPr>
                        <w:jc w:val="center"/>
                        <w:rPr>
                          <w:szCs w:val="22"/>
                          <w:lang w:val="en-US"/>
                        </w:rPr>
                      </w:pPr>
                    </w:p>
                  </w:txbxContent>
                </v:textbox>
              </v:roundrect>
            </w:pict>
          </mc:Fallback>
        </mc:AlternateContent>
      </w:r>
      <w:r w:rsidRPr="005A3F27">
        <w:rPr>
          <w:noProof/>
        </w:rPr>
        <w:drawing>
          <wp:inline distT="0" distB="0" distL="0" distR="0" wp14:anchorId="1F3ACDD0" wp14:editId="753FED2C">
            <wp:extent cx="6373741" cy="2330245"/>
            <wp:effectExtent l="19050" t="342900" r="8255" b="356235"/>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67F9A7D" w14:textId="0856647C" w:rsidR="003F0CC1" w:rsidRDefault="003F0CC1" w:rsidP="00FD33D9"/>
    <w:p w14:paraId="7559AFED" w14:textId="094CCBFB" w:rsidR="003F0CC1" w:rsidRDefault="003F0CC1" w:rsidP="003F0CC1">
      <w:pPr>
        <w:pStyle w:val="Caption"/>
      </w:pPr>
      <w:r>
        <w:t xml:space="preserve">Figure </w:t>
      </w:r>
      <w:r>
        <w:fldChar w:fldCharType="begin"/>
      </w:r>
      <w:r>
        <w:instrText xml:space="preserve"> SEQ Figure \* ARABIC </w:instrText>
      </w:r>
      <w:r>
        <w:fldChar w:fldCharType="separate"/>
      </w:r>
      <w:r>
        <w:rPr>
          <w:noProof/>
        </w:rPr>
        <w:t>1</w:t>
      </w:r>
      <w:r>
        <w:fldChar w:fldCharType="end"/>
      </w:r>
      <w:r>
        <w:t xml:space="preserve">: </w:t>
      </w:r>
      <w:r w:rsidRPr="005A3F27">
        <w:t>Project selection and credit approval process</w:t>
      </w:r>
    </w:p>
    <w:p w14:paraId="623A10DB" w14:textId="68A595FF" w:rsidR="00643AE0" w:rsidRDefault="00643AE0" w:rsidP="00643AE0"/>
    <w:p w14:paraId="33783BD1" w14:textId="77777777" w:rsidR="00643AE0" w:rsidRPr="00643AE0" w:rsidRDefault="00643AE0" w:rsidP="00643AE0"/>
    <w:p w14:paraId="6F0204D3" w14:textId="071F22A5" w:rsidR="00FD33D9" w:rsidRPr="005A3F27" w:rsidRDefault="009B1942" w:rsidP="00EC1CA9">
      <w:pPr>
        <w:pStyle w:val="Heading1"/>
        <w:pBdr>
          <w:bottom w:val="single" w:sz="4" w:space="11" w:color="929292" w:themeColor="text1" w:themeTint="A6"/>
        </w:pBdr>
      </w:pPr>
      <w:bookmarkStart w:id="55" w:name="_Toc109127509"/>
      <w:r w:rsidRPr="005A3F27">
        <w:t>Management of Proceeds</w:t>
      </w:r>
      <w:bookmarkEnd w:id="55"/>
    </w:p>
    <w:p w14:paraId="41EA1131" w14:textId="77777777" w:rsidR="00EC1CA9" w:rsidRPr="005A3F27" w:rsidRDefault="00FD33D9" w:rsidP="00EC1CA9">
      <w:pPr>
        <w:pStyle w:val="Heading2"/>
      </w:pPr>
      <w:bookmarkStart w:id="56" w:name="_Toc109127510"/>
      <w:r w:rsidRPr="005A3F27">
        <w:t>Oversight of Green Bond Programme Operations</w:t>
      </w:r>
      <w:bookmarkEnd w:id="56"/>
    </w:p>
    <w:p w14:paraId="0E703B9E" w14:textId="02A66203" w:rsidR="003D247E" w:rsidRPr="005A3F27" w:rsidRDefault="003D247E" w:rsidP="003D247E">
      <w:r w:rsidRPr="005A3F27">
        <w:t xml:space="preserve">The net proceeds of the Green or Sustainable Bond will be on-lent to the Borrower(s) by the </w:t>
      </w:r>
      <w:r w:rsidR="009C1DCD">
        <w:t xml:space="preserve">Bank </w:t>
      </w:r>
      <w:r w:rsidRPr="005A3F27">
        <w:t>in accordance with the terms of an underlying loan(s).</w:t>
      </w:r>
    </w:p>
    <w:p w14:paraId="02ABD92B" w14:textId="77777777" w:rsidR="003D247E" w:rsidRPr="005A3F27" w:rsidRDefault="003D247E" w:rsidP="003D247E">
      <w:r w:rsidRPr="005A3F27">
        <w:t>Therefore, the management of the proceeds will take place at the level of the Borrower. Each Borrower to which this Framework applies will be contractually required to hold the proceeds of the underlying loan in a sub-account or to otherwise track the funds in its internal systems.</w:t>
      </w:r>
    </w:p>
    <w:p w14:paraId="15B70603" w14:textId="77777777" w:rsidR="003D247E" w:rsidRPr="005A3F27" w:rsidRDefault="003D247E" w:rsidP="009C1DCD">
      <w:r w:rsidRPr="005A3F27">
        <w:t>Each underlying loan made available can have one or more Eligible Green Projects and/or Social Projects that the Sustainable Bond finances. The Borrower will ensure and will make a repeating representation that each Eligible Project is not funded by more than one financing instrument, to avoid double counting of Eligible Projects.</w:t>
      </w:r>
    </w:p>
    <w:p w14:paraId="296E6E32" w14:textId="253D06A3" w:rsidR="003D247E" w:rsidRPr="005A3F27" w:rsidRDefault="009C1DCD" w:rsidP="003D247E">
      <w:r w:rsidRPr="009C1DCD">
        <w:rPr>
          <w:b/>
          <w:bCs/>
        </w:rPr>
        <w:t>The Bank</w:t>
      </w:r>
      <w:r>
        <w:t xml:space="preserve"> </w:t>
      </w:r>
      <w:r w:rsidR="003D247E" w:rsidRPr="005A3F27">
        <w:t>will distribute the full bond proceeds (directly or indirectly) to the Borrower. Pending full allocation of the bond proceeds to Eligible Projects the Borrower may be required to hold these unallocated proceeds in cash or other short-term money market instruments.</w:t>
      </w:r>
    </w:p>
    <w:p w14:paraId="0C863B20" w14:textId="028A6CAC" w:rsidR="003D247E" w:rsidRPr="005A3F27" w:rsidRDefault="003D247E" w:rsidP="003D247E">
      <w:r w:rsidRPr="005A3F27">
        <w:t xml:space="preserve">If the underlying Eligible Project is prepaid or no longer qualifies as an Eligible Green Project or Eligible </w:t>
      </w:r>
      <w:r w:rsidR="001B2465" w:rsidRPr="005A3F27">
        <w:t>Sustainable</w:t>
      </w:r>
      <w:r w:rsidRPr="005A3F27">
        <w:t xml:space="preserve"> Project, the Borrower has the possibility to replace the ineligible or prepaid project with an Eligible Project. If the Borrower fails to replace the project within a reasonable period, then it will either (i) be required to prepay the part of the loan that is not covered by the </w:t>
      </w:r>
      <w:r w:rsidRPr="005A3F27">
        <w:lastRenderedPageBreak/>
        <w:t>Eligible Project within one year, or (ii) such failure constitutes an event of default under the terms of the loan.</w:t>
      </w:r>
    </w:p>
    <w:p w14:paraId="0598A45F" w14:textId="28358922" w:rsidR="009B1942" w:rsidRPr="005A3F27" w:rsidRDefault="003D247E" w:rsidP="003D247E">
      <w:r w:rsidRPr="005A3F27">
        <w:t xml:space="preserve">Further, in case of a Basket Bond, </w:t>
      </w:r>
      <w:r w:rsidR="009C1DCD" w:rsidRPr="009C1DCD">
        <w:rPr>
          <w:b/>
          <w:bCs/>
        </w:rPr>
        <w:t>the Bank</w:t>
      </w:r>
      <w:r w:rsidR="009C1DCD">
        <w:t xml:space="preserve"> </w:t>
      </w:r>
      <w:r w:rsidRPr="005A3F27">
        <w:t>will ensure that the proceeds of the Basket Bond are held on a designated account pending the disbursement of the eligible underlying loan(s),</w:t>
      </w:r>
      <w:r w:rsidR="009C1DCD">
        <w:t xml:space="preserve"> </w:t>
      </w:r>
      <w:r w:rsidRPr="005A3F27">
        <w:t>and will further ensure that in case of a failure to disburse eligible underlying loans in an amount equal to the notional amount of the Basket Bond at the end of an appropriate period, the unallocated proceeds are applied towards an early redemption.</w:t>
      </w:r>
    </w:p>
    <w:p w14:paraId="533464A7" w14:textId="05F338A4" w:rsidR="00FD33D9" w:rsidRPr="005A3F27" w:rsidRDefault="00FD33D9" w:rsidP="009C1DCD">
      <w:r w:rsidRPr="005A3F27">
        <w:t xml:space="preserve">The </w:t>
      </w:r>
      <w:r w:rsidR="002E0BE7" w:rsidRPr="005A3F27">
        <w:rPr>
          <w:b/>
          <w:bCs/>
        </w:rPr>
        <w:t>Green and Sustainable Bond Committee (“The Committee”)</w:t>
      </w:r>
      <w:r w:rsidR="002E0BE7" w:rsidRPr="005A3F27">
        <w:t xml:space="preserve"> </w:t>
      </w:r>
      <w:r w:rsidRPr="005A3F27">
        <w:t>will provide the required governance and operational support for the Green Bond Programme including:</w:t>
      </w:r>
    </w:p>
    <w:p w14:paraId="35B749C9" w14:textId="7CBC6287" w:rsidR="00FD33D9" w:rsidRPr="005A3F27" w:rsidRDefault="00FD33D9" w:rsidP="003E4B57">
      <w:pPr>
        <w:pStyle w:val="ListParagraph"/>
        <w:numPr>
          <w:ilvl w:val="0"/>
          <w:numId w:val="17"/>
        </w:numPr>
      </w:pPr>
      <w:r w:rsidRPr="005A3F27">
        <w:t>Management oversight of the Green Bond Programme operations;</w:t>
      </w:r>
    </w:p>
    <w:p w14:paraId="539680EE" w14:textId="621CE08F" w:rsidR="00FD33D9" w:rsidRPr="005A3F27" w:rsidRDefault="00FD33D9" w:rsidP="003E4B57">
      <w:pPr>
        <w:pStyle w:val="ListParagraph"/>
        <w:numPr>
          <w:ilvl w:val="0"/>
          <w:numId w:val="17"/>
        </w:numPr>
      </w:pPr>
      <w:r w:rsidRPr="005A3F27">
        <w:t>Maintenance and monitoring of the eligible pool of projects for the duration of each bond in issuance;</w:t>
      </w:r>
    </w:p>
    <w:p w14:paraId="44171183" w14:textId="5ED0AF3D" w:rsidR="00FD33D9" w:rsidRPr="005A3F27" w:rsidRDefault="00FD33D9" w:rsidP="003E4B57">
      <w:pPr>
        <w:pStyle w:val="ListParagraph"/>
        <w:numPr>
          <w:ilvl w:val="0"/>
          <w:numId w:val="17"/>
        </w:numPr>
      </w:pPr>
      <w:r w:rsidRPr="005A3F27">
        <w:t>Overseeing reporting on the Green Bond portfolio and project indicators; and Managing investors communication.</w:t>
      </w:r>
    </w:p>
    <w:p w14:paraId="4CDF3103" w14:textId="348B5C12" w:rsidR="00FD33D9" w:rsidRPr="005A3F27" w:rsidRDefault="00FD33D9" w:rsidP="00E779BF">
      <w:pPr>
        <w:pStyle w:val="Heading2"/>
      </w:pPr>
      <w:bookmarkStart w:id="57" w:name="_Toc104922167"/>
      <w:bookmarkStart w:id="58" w:name="_Toc109127511"/>
      <w:r w:rsidRPr="005A3F27">
        <w:t>BANK Portfolio Management Policy</w:t>
      </w:r>
      <w:bookmarkEnd w:id="57"/>
      <w:bookmarkEnd w:id="58"/>
    </w:p>
    <w:p w14:paraId="29682B3D" w14:textId="5CE37A02" w:rsidR="00FD33D9" w:rsidRPr="005A3F27" w:rsidRDefault="00FD33D9" w:rsidP="00FD33D9">
      <w:r w:rsidRPr="005A3F27">
        <w:t xml:space="preserve">Control and monitoring of disbursements are managed by the </w:t>
      </w:r>
      <w:r w:rsidR="00F93EC6">
        <w:t>Lending Department</w:t>
      </w:r>
      <w:r w:rsidRPr="005A3F27">
        <w:t xml:space="preserve">. This </w:t>
      </w:r>
      <w:r w:rsidR="00F93EC6">
        <w:t>Department</w:t>
      </w:r>
      <w:r w:rsidRPr="005A3F27">
        <w:t xml:space="preserve"> is responsible for the monitoring of financing commitments on a bi-annual basis, execution status, and contractual compliance;</w:t>
      </w:r>
    </w:p>
    <w:p w14:paraId="1C4F9343" w14:textId="6157F574" w:rsidR="00FD33D9" w:rsidRPr="005A3F27" w:rsidRDefault="00FD33D9" w:rsidP="00FD33D9">
      <w:r w:rsidRPr="005A3F27">
        <w:t xml:space="preserve">Operation and execution status are monitored by the Transacting team (including provision of all climate and development data identified </w:t>
      </w:r>
      <w:r w:rsidR="006B32F9" w:rsidRPr="005A3F27">
        <w:t xml:space="preserve">in the planning and </w:t>
      </w:r>
      <w:r w:rsidR="00502A2A" w:rsidRPr="005A3F27">
        <w:t>eligibility phase of the Green Bond</w:t>
      </w:r>
      <w:r w:rsidRPr="005A3F27">
        <w:t>);</w:t>
      </w:r>
    </w:p>
    <w:p w14:paraId="7A7E0C16" w14:textId="0C789730" w:rsidR="00FD33D9" w:rsidRPr="005A3F27" w:rsidRDefault="00FD33D9" w:rsidP="00A0249F">
      <w:r w:rsidRPr="005A3F27">
        <w:t xml:space="preserve">Environmental and development impacts are tracked and evaluated through </w:t>
      </w:r>
      <w:r w:rsidR="00363715" w:rsidRPr="005A3F27">
        <w:t xml:space="preserve">a </w:t>
      </w:r>
      <w:r w:rsidRPr="005A3F27">
        <w:rPr>
          <w:b/>
          <w:bCs/>
        </w:rPr>
        <w:t>Development Results Framework</w:t>
      </w:r>
      <w:r w:rsidR="004B35AF">
        <w:t xml:space="preserve">. </w:t>
      </w:r>
      <w:r w:rsidR="00643AE0">
        <w:t xml:space="preserve">The </w:t>
      </w:r>
      <w:r w:rsidR="00A0249F">
        <w:t xml:space="preserve">Development Result Framework </w:t>
      </w:r>
      <w:r w:rsidR="00A0249F" w:rsidRPr="00A0249F">
        <w:t>would be based on the expected annual impact results for a representative year</w:t>
      </w:r>
      <w:r w:rsidR="00A0249F">
        <w:t>. The impact report would thus serve as an illustration of expected environmental results that would be made possible as a result of projects to which green bonds proceeds have been allocated; however, there is no guarantee that these results will ultimately materialize. Furthermore, as the report would include the estimated results of projects that are still in the construction and/or in implementation phase, it is not intended to provide actual impact results achieved in a specific year or reporting period.</w:t>
      </w:r>
      <w:r w:rsidR="00A0249F" w:rsidRPr="005A3F27">
        <w:t xml:space="preserve"> Client</w:t>
      </w:r>
      <w:r w:rsidRPr="005A3F27">
        <w:t xml:space="preserve"> credit status and security structures are monitored and managed by the Credit Risk Unit.</w:t>
      </w:r>
    </w:p>
    <w:p w14:paraId="0C2C9CF3" w14:textId="070E8028" w:rsidR="00FD33D9" w:rsidRPr="005A3F27" w:rsidRDefault="00FD33D9" w:rsidP="00FD33D9">
      <w:r w:rsidRPr="005A3F27">
        <w:t>The B</w:t>
      </w:r>
      <w:r w:rsidR="00FE4B10">
        <w:t>ank</w:t>
      </w:r>
      <w:r w:rsidRPr="005A3F27">
        <w:t xml:space="preserve"> will establish a dedicated database containing all eligible projects financed by, or to be financed by the proceeds </w:t>
      </w:r>
      <w:r w:rsidRPr="00BB015F">
        <w:t>of green bond issuances. The Bank has the necessary monitoring and management capacity to provide investors with accurate and transparent information addressing the quantum of Green Bonds outstanding vs eligible projects, project location, sector, the removal of projects that may no longer meet the eligibility criteria, and the maintenance of the portfolio through qualifying substitutions.</w:t>
      </w:r>
    </w:p>
    <w:p w14:paraId="2BAC5E51" w14:textId="50344D7F" w:rsidR="00FD33D9" w:rsidRPr="005A3F27" w:rsidRDefault="00FD33D9" w:rsidP="00E779BF">
      <w:pPr>
        <w:pStyle w:val="Heading2"/>
      </w:pPr>
      <w:bookmarkStart w:id="59" w:name="_Toc104922168"/>
      <w:bookmarkStart w:id="60" w:name="_Toc109127512"/>
      <w:r w:rsidRPr="005A3F27">
        <w:t>Procedures for Management of Proceeds</w:t>
      </w:r>
      <w:bookmarkEnd w:id="59"/>
      <w:bookmarkEnd w:id="60"/>
    </w:p>
    <w:p w14:paraId="0D8B041D" w14:textId="621D30F4" w:rsidR="007A4638" w:rsidRPr="005A3F27" w:rsidRDefault="00FD33D9" w:rsidP="00FD33D9">
      <w:r w:rsidRPr="009C1DCD">
        <w:rPr>
          <w:b/>
          <w:bCs/>
        </w:rPr>
        <w:t xml:space="preserve">The </w:t>
      </w:r>
      <w:r w:rsidR="009C1DCD" w:rsidRPr="009C1DCD">
        <w:rPr>
          <w:b/>
          <w:bCs/>
        </w:rPr>
        <w:t>Bank</w:t>
      </w:r>
      <w:r w:rsidRPr="005A3F27">
        <w:t xml:space="preserve"> will establish appropriate measures and procedures to ensure that proceeds from the Green Bond are allocated and utilised as intended and subject to the applicable </w:t>
      </w:r>
      <w:r w:rsidR="009C1DCD" w:rsidRPr="009C1DCD">
        <w:rPr>
          <w:b/>
          <w:bCs/>
        </w:rPr>
        <w:t>Bank</w:t>
      </w:r>
      <w:r w:rsidR="009C1DCD">
        <w:t xml:space="preserve"> </w:t>
      </w:r>
      <w:r w:rsidRPr="005A3F27">
        <w:t>Green Bond Framework. Any Green Bond proceeds not allocated to eligible projects at the date of issue will be</w:t>
      </w:r>
      <w:r w:rsidR="00D121B2" w:rsidRPr="005A3F27">
        <w:t xml:space="preserve"> invested in cash or</w:t>
      </w:r>
      <w:r w:rsidR="009A7DEF" w:rsidRPr="005A3F27">
        <w:t xml:space="preserve"> cash equivalents, and other liquid instruments, and managed in line with the Bank liquidity management</w:t>
      </w:r>
      <w:r w:rsidR="00D121B2" w:rsidRPr="005A3F27">
        <w:t xml:space="preserve"> framework until such time that the funds are apportioned to eligible projects. </w:t>
      </w:r>
    </w:p>
    <w:p w14:paraId="08D61412" w14:textId="018DF175" w:rsidR="00FC301B" w:rsidRPr="005A3F27" w:rsidRDefault="00FC301B" w:rsidP="00FC301B">
      <w:bookmarkStart w:id="61" w:name="_Toc104922169"/>
    </w:p>
    <w:p w14:paraId="119D2C4D" w14:textId="63317D80" w:rsidR="00FD33D9" w:rsidRPr="005A3F27" w:rsidRDefault="00FC301B" w:rsidP="00FC301B">
      <w:pPr>
        <w:pStyle w:val="Heading1"/>
      </w:pPr>
      <w:r w:rsidRPr="005A3F27">
        <w:t xml:space="preserve"> </w:t>
      </w:r>
      <w:bookmarkStart w:id="62" w:name="_Toc109127513"/>
      <w:r w:rsidR="00FD33D9" w:rsidRPr="005A3F27">
        <w:t>R</w:t>
      </w:r>
      <w:r w:rsidR="009C1DCD">
        <w:t>eporting</w:t>
      </w:r>
      <w:bookmarkEnd w:id="61"/>
      <w:bookmarkEnd w:id="62"/>
    </w:p>
    <w:p w14:paraId="2877DDE9" w14:textId="48EAD08B" w:rsidR="00E0464E" w:rsidRPr="005A3F27" w:rsidRDefault="00FD33D9" w:rsidP="009C1DCD">
      <w:pPr>
        <w:pStyle w:val="Heading2"/>
      </w:pPr>
      <w:bookmarkStart w:id="63" w:name="_Toc109127514"/>
      <w:r w:rsidRPr="009C1DCD">
        <w:t>Development</w:t>
      </w:r>
      <w:r w:rsidRPr="005A3F27">
        <w:t xml:space="preserve"> Results Reporting Framework</w:t>
      </w:r>
      <w:bookmarkEnd w:id="63"/>
    </w:p>
    <w:p w14:paraId="011DE137" w14:textId="75B7460C" w:rsidR="00061F54" w:rsidRPr="005A3F27" w:rsidRDefault="009C1DCD" w:rsidP="00061F54">
      <w:r w:rsidRPr="009C1DCD">
        <w:rPr>
          <w:b/>
          <w:bCs/>
        </w:rPr>
        <w:t xml:space="preserve">The Bank </w:t>
      </w:r>
      <w:r w:rsidR="00061F54" w:rsidRPr="005A3F27">
        <w:t>will produce Sustainability or Green Bond Use of Proceeds Reports (“Report”) per bond issuance annually.</w:t>
      </w:r>
    </w:p>
    <w:p w14:paraId="7255AF47" w14:textId="77777777" w:rsidR="00061F54" w:rsidRPr="005A3F27" w:rsidRDefault="00061F54" w:rsidP="009C1DCD">
      <w:r w:rsidRPr="005A3F27">
        <w:t>Further, in case of a Basket Bond, the use of proceeds report will contain an overview of the use of proceeds for each Green, Social, Sustainability or Loan granted on an aggregated basis. Such report will be made available annually.</w:t>
      </w:r>
    </w:p>
    <w:p w14:paraId="5C322EC1" w14:textId="77777777" w:rsidR="00061F54" w:rsidRPr="005A3F27" w:rsidRDefault="00061F54" w:rsidP="00061F54">
      <w:r w:rsidRPr="005A3F27">
        <w:t>This Report, which will be prepared for each Sustainable Bond or Basket Bond separately, will contain details of:</w:t>
      </w:r>
    </w:p>
    <w:p w14:paraId="0C388027" w14:textId="3FF61B8E" w:rsidR="00061F54" w:rsidRPr="005A3F27" w:rsidRDefault="00061F54" w:rsidP="003E4B57">
      <w:pPr>
        <w:pStyle w:val="ListParagraph"/>
        <w:numPr>
          <w:ilvl w:val="0"/>
          <w:numId w:val="23"/>
        </w:numPr>
      </w:pPr>
      <w:r w:rsidRPr="005A3F27">
        <w:t xml:space="preserve">Allocation of funds </w:t>
      </w:r>
      <w:r w:rsidR="00E230C4">
        <w:t xml:space="preserve">per each </w:t>
      </w:r>
      <w:r w:rsidRPr="005A3F27">
        <w:t>eligible project category and optionally some examples of loans financed</w:t>
      </w:r>
    </w:p>
    <w:p w14:paraId="44331C78" w14:textId="38D1D1CB" w:rsidR="00E230C4" w:rsidRPr="00E230C4" w:rsidRDefault="00E230C4" w:rsidP="003E4B57">
      <w:pPr>
        <w:pStyle w:val="ListParagraph"/>
        <w:numPr>
          <w:ilvl w:val="0"/>
          <w:numId w:val="23"/>
        </w:numPr>
      </w:pPr>
      <w:r w:rsidRPr="00E230C4">
        <w:t>Green Bond total allocations made within reporting period including proportions of new vs. refinanced assets</w:t>
      </w:r>
    </w:p>
    <w:p w14:paraId="6E990A11" w14:textId="202AB0B0" w:rsidR="00061F54" w:rsidRDefault="00061F54" w:rsidP="003E4B57">
      <w:pPr>
        <w:pStyle w:val="ListParagraph"/>
        <w:numPr>
          <w:ilvl w:val="0"/>
          <w:numId w:val="23"/>
        </w:numPr>
      </w:pPr>
      <w:r w:rsidRPr="005A3F27">
        <w:t>The amount of unallocated cash or cash equivalents</w:t>
      </w:r>
    </w:p>
    <w:p w14:paraId="00242D55" w14:textId="207D8200" w:rsidR="00061F54" w:rsidRDefault="00061F54" w:rsidP="003E4B57">
      <w:pPr>
        <w:pStyle w:val="ListParagraph"/>
        <w:numPr>
          <w:ilvl w:val="0"/>
          <w:numId w:val="23"/>
        </w:numPr>
      </w:pPr>
      <w:r w:rsidRPr="005A3F27">
        <w:t xml:space="preserve">If available, a breakdown of the </w:t>
      </w:r>
      <w:r w:rsidR="00E230C4">
        <w:t>regions within Armenia</w:t>
      </w:r>
      <w:r w:rsidRPr="005A3F27">
        <w:t xml:space="preserve"> where the funds have been deployed</w:t>
      </w:r>
    </w:p>
    <w:p w14:paraId="06EBD2CD" w14:textId="77777777" w:rsidR="00061F54" w:rsidRPr="005A3F27" w:rsidRDefault="00061F54" w:rsidP="003E4B57">
      <w:pPr>
        <w:pStyle w:val="ListParagraph"/>
        <w:numPr>
          <w:ilvl w:val="0"/>
          <w:numId w:val="23"/>
        </w:numPr>
      </w:pPr>
      <w:r w:rsidRPr="005A3F27">
        <w:t>The terms and conditions of a Sustainable Bond may provide for further details of a Report applicable to such bond.</w:t>
      </w:r>
    </w:p>
    <w:p w14:paraId="212B00ED" w14:textId="64BC9859" w:rsidR="00061F54" w:rsidRPr="005A3F27" w:rsidRDefault="00061F54" w:rsidP="005A6D3A">
      <w:r w:rsidRPr="005A6D3A">
        <w:rPr>
          <w:b/>
          <w:bCs/>
        </w:rPr>
        <w:t xml:space="preserve">The </w:t>
      </w:r>
      <w:r w:rsidR="005A6D3A" w:rsidRPr="005A6D3A">
        <w:rPr>
          <w:b/>
          <w:bCs/>
        </w:rPr>
        <w:t>Bank</w:t>
      </w:r>
      <w:r w:rsidRPr="005A6D3A">
        <w:rPr>
          <w:b/>
          <w:bCs/>
        </w:rPr>
        <w:t xml:space="preserve"> </w:t>
      </w:r>
      <w:r w:rsidRPr="005A3F27">
        <w:t xml:space="preserve">commits to annual reporting on the use of Green Bonds proceeds on </w:t>
      </w:r>
      <w:r w:rsidRPr="005A6D3A">
        <w:rPr>
          <w:b/>
          <w:bCs/>
        </w:rPr>
        <w:t xml:space="preserve">the </w:t>
      </w:r>
      <w:r w:rsidR="005A6D3A" w:rsidRPr="005A6D3A">
        <w:rPr>
          <w:b/>
          <w:bCs/>
        </w:rPr>
        <w:t>Bank’s</w:t>
      </w:r>
      <w:r w:rsidR="005A6D3A">
        <w:t xml:space="preserve"> </w:t>
      </w:r>
      <w:r w:rsidRPr="005A3F27">
        <w:t xml:space="preserve">website. This report will provide investors with relevant information on the status of the Green Bond Program and will include details on projects financed through the Green Bond issuance. Wherever possible, </w:t>
      </w:r>
      <w:r w:rsidRPr="005A6D3A">
        <w:rPr>
          <w:b/>
          <w:bCs/>
        </w:rPr>
        <w:t xml:space="preserve">the </w:t>
      </w:r>
      <w:r w:rsidR="005A6D3A" w:rsidRPr="005A6D3A">
        <w:rPr>
          <w:b/>
          <w:bCs/>
        </w:rPr>
        <w:t>Bank</w:t>
      </w:r>
      <w:r w:rsidRPr="005A3F27">
        <w:t xml:space="preserve"> will report both on the anticipated and actual development and environmental impact outcomes of the projects funded.</w:t>
      </w:r>
    </w:p>
    <w:p w14:paraId="09CF4720" w14:textId="1F2298D3" w:rsidR="00061F54" w:rsidRPr="005A3F27" w:rsidRDefault="00061F54" w:rsidP="00061F54">
      <w:r w:rsidRPr="005A6D3A">
        <w:rPr>
          <w:b/>
          <w:bCs/>
        </w:rPr>
        <w:t xml:space="preserve">The </w:t>
      </w:r>
      <w:r w:rsidR="005A6D3A" w:rsidRPr="005A6D3A">
        <w:rPr>
          <w:b/>
          <w:bCs/>
        </w:rPr>
        <w:t>Bank</w:t>
      </w:r>
      <w:r w:rsidRPr="005A3F27">
        <w:t xml:space="preserve"> will disclose qualitative and quantitative information concerning each selected project as well as aggregate information on the portfolio of projects allocated for Green Bond financing. Where confidentiality or other reasonable considerations limit the detail of information that can be made available, </w:t>
      </w:r>
      <w:r w:rsidRPr="005A6D3A">
        <w:rPr>
          <w:b/>
          <w:bCs/>
        </w:rPr>
        <w:t xml:space="preserve">the </w:t>
      </w:r>
      <w:r w:rsidR="005A6D3A" w:rsidRPr="005A6D3A">
        <w:rPr>
          <w:b/>
          <w:bCs/>
        </w:rPr>
        <w:t>Bank</w:t>
      </w:r>
      <w:r w:rsidR="005A6D3A">
        <w:t xml:space="preserve"> </w:t>
      </w:r>
      <w:r w:rsidRPr="005A3F27">
        <w:t>will provide this context and present information on a portfolio basis or equivalent.</w:t>
      </w:r>
    </w:p>
    <w:p w14:paraId="4203BCC2" w14:textId="25C108B2" w:rsidR="00A13513" w:rsidRPr="005A3F27" w:rsidRDefault="00061F54" w:rsidP="00FD33D9">
      <w:r w:rsidRPr="005A6D3A">
        <w:rPr>
          <w:b/>
          <w:bCs/>
        </w:rPr>
        <w:t xml:space="preserve">The </w:t>
      </w:r>
      <w:r w:rsidR="005A6D3A" w:rsidRPr="005A6D3A">
        <w:rPr>
          <w:b/>
          <w:bCs/>
        </w:rPr>
        <w:t xml:space="preserve">Bank </w:t>
      </w:r>
      <w:r w:rsidRPr="005A3F27">
        <w:t>will additionally provide a description of key underlying methodologies and assumptions used in the quantitative determination of the anticipated development and environmental performance indicators reported.</w:t>
      </w:r>
    </w:p>
    <w:p w14:paraId="31857EEE" w14:textId="6BD0D0DE" w:rsidR="00B45F82" w:rsidRPr="005A3F27" w:rsidRDefault="00B45F82" w:rsidP="005A6D3A">
      <w:pPr>
        <w:pStyle w:val="Heading2"/>
      </w:pPr>
      <w:bookmarkStart w:id="64" w:name="_Toc109127515"/>
      <w:r w:rsidRPr="005A3F27">
        <w:t>Impact Reporting</w:t>
      </w:r>
      <w:bookmarkEnd w:id="64"/>
    </w:p>
    <w:p w14:paraId="43C27A4A" w14:textId="19BEFBC3" w:rsidR="005A6D3A" w:rsidRDefault="005A6D3A" w:rsidP="00A56ED8">
      <w:r>
        <w:t xml:space="preserve">As is consistent with the EU’s proposed Green Bond Standard, </w:t>
      </w:r>
      <w:r w:rsidRPr="005A6D3A">
        <w:rPr>
          <w:b/>
          <w:bCs/>
        </w:rPr>
        <w:t>the Bank</w:t>
      </w:r>
      <w:r>
        <w:t xml:space="preserve"> </w:t>
      </w:r>
      <w:r w:rsidR="00A56ED8" w:rsidRPr="005A3F27">
        <w:t xml:space="preserve">will ensure that </w:t>
      </w:r>
      <w:r>
        <w:t>t</w:t>
      </w:r>
      <w:r w:rsidR="00A56ED8" w:rsidRPr="005A3F27">
        <w:t xml:space="preserve">he borrower provide annual impact reporting in respect of the projects financed. Such impact reporting will endeavour to follow the recommendations outlined in the ‘Harmonized Frameworks for Impact Reporting’ for Green and Social Bonds respectively. </w:t>
      </w:r>
      <w:r>
        <w:t xml:space="preserve">For greenhouse gas reducing investments in particular, </w:t>
      </w:r>
      <w:r>
        <w:rPr>
          <w:b/>
          <w:bCs/>
        </w:rPr>
        <w:t>t</w:t>
      </w:r>
      <w:r w:rsidRPr="005A6D3A">
        <w:rPr>
          <w:b/>
          <w:bCs/>
        </w:rPr>
        <w:t>he Bank</w:t>
      </w:r>
      <w:r>
        <w:t xml:space="preserve"> </w:t>
      </w:r>
      <w:r w:rsidR="00A56ED8" w:rsidRPr="005A3F27">
        <w:t xml:space="preserve">will endeavour to ensure that The </w:t>
      </w:r>
      <w:r>
        <w:t>B</w:t>
      </w:r>
      <w:r w:rsidR="00A56ED8" w:rsidRPr="005A3F27">
        <w:t>orrower provides ex-ante impact estimates on a project-by-project basis</w:t>
      </w:r>
      <w:r>
        <w:t xml:space="preserve">. </w:t>
      </w:r>
      <w:r w:rsidRPr="005A6D3A">
        <w:rPr>
          <w:b/>
          <w:bCs/>
        </w:rPr>
        <w:t>The Bank</w:t>
      </w:r>
      <w:r>
        <w:t xml:space="preserve"> will also use its own calculation tools for </w:t>
      </w:r>
      <w:r>
        <w:lastRenderedPageBreak/>
        <w:t>ex-ante assessing of impacts as is appropriate – particularly for renewable energy and energy efficiency projects</w:t>
      </w:r>
      <w:r w:rsidR="00A56ED8" w:rsidRPr="005A3F27">
        <w:t xml:space="preserve">. </w:t>
      </w:r>
    </w:p>
    <w:p w14:paraId="020520A2" w14:textId="4E11B970" w:rsidR="00345F90" w:rsidRDefault="005A6D3A" w:rsidP="00A56ED8">
      <w:r>
        <w:t xml:space="preserve">For investments not directly reducing net greenhouse gas emissions, quantitative analysis will be requested of the Borrower on </w:t>
      </w:r>
      <w:r w:rsidR="00345F90">
        <w:t>other environmental impacts o</w:t>
      </w:r>
      <w:r w:rsidR="00A56ED8" w:rsidRPr="005A3F27">
        <w:t>f</w:t>
      </w:r>
      <w:r w:rsidR="00345F90">
        <w:t xml:space="preserve"> the projects. Where</w:t>
      </w:r>
      <w:r w:rsidR="00A56ED8" w:rsidRPr="005A3F27">
        <w:t xml:space="preserve"> quantitative measures are not available then </w:t>
      </w:r>
      <w:r w:rsidR="00345F90" w:rsidRPr="00345F90">
        <w:rPr>
          <w:b/>
          <w:bCs/>
        </w:rPr>
        <w:t>t</w:t>
      </w:r>
      <w:r w:rsidR="00A56ED8" w:rsidRPr="00345F90">
        <w:rPr>
          <w:b/>
          <w:bCs/>
        </w:rPr>
        <w:t xml:space="preserve">he </w:t>
      </w:r>
      <w:r w:rsidR="00345F90">
        <w:rPr>
          <w:b/>
          <w:bCs/>
        </w:rPr>
        <w:t>B</w:t>
      </w:r>
      <w:r w:rsidR="00A56ED8" w:rsidRPr="00345F90">
        <w:rPr>
          <w:b/>
          <w:bCs/>
        </w:rPr>
        <w:t>orrower</w:t>
      </w:r>
      <w:r w:rsidR="00A56ED8" w:rsidRPr="005A3F27">
        <w:t xml:space="preserve"> will </w:t>
      </w:r>
      <w:r w:rsidR="00345F90">
        <w:t xml:space="preserve">be required to </w:t>
      </w:r>
      <w:r w:rsidR="00A56ED8" w:rsidRPr="005A3F27">
        <w:t xml:space="preserve">produce qualitative assessments. </w:t>
      </w:r>
    </w:p>
    <w:p w14:paraId="2A820EF4" w14:textId="420063BB" w:rsidR="00A56ED8" w:rsidRPr="005A3F27" w:rsidRDefault="00345F90" w:rsidP="00A56ED8">
      <w:r w:rsidRPr="00345F90">
        <w:rPr>
          <w:b/>
          <w:bCs/>
        </w:rPr>
        <w:t>The Bank</w:t>
      </w:r>
      <w:r>
        <w:t xml:space="preserve"> </w:t>
      </w:r>
      <w:r w:rsidR="00A56ED8" w:rsidRPr="005A3F27">
        <w:t xml:space="preserve">will also endeavour to ensure that </w:t>
      </w:r>
      <w:r w:rsidRPr="00345F90">
        <w:rPr>
          <w:b/>
          <w:bCs/>
        </w:rPr>
        <w:t>the Borrower</w:t>
      </w:r>
      <w:r>
        <w:t xml:space="preserve"> </w:t>
      </w:r>
      <w:r w:rsidR="00A56ED8" w:rsidRPr="005A3F27">
        <w:t>will produce ex-post impact measurements wherever possible</w:t>
      </w:r>
      <w:r>
        <w:t xml:space="preserve"> – in particular for projects aimed at reducing net greenhouse gas emissions – to be reported upon annually</w:t>
      </w:r>
      <w:r w:rsidR="00A56ED8" w:rsidRPr="005A3F27">
        <w:t>.</w:t>
      </w:r>
    </w:p>
    <w:p w14:paraId="152BF8EF" w14:textId="51E3D4E9" w:rsidR="00345F90" w:rsidRDefault="00752126" w:rsidP="00A56ED8">
      <w:r w:rsidRPr="005A3F27">
        <w:t>Indicators and reporting frameworks will be adapted from the</w:t>
      </w:r>
      <w:r w:rsidR="00A56ED8" w:rsidRPr="005A3F27">
        <w:t xml:space="preserve"> ‘Harmonized Frameworks for Impact Reporting’</w:t>
      </w:r>
      <w:r w:rsidRPr="005A3F27">
        <w:t>, across the relevant areas which may include</w:t>
      </w:r>
      <w:r w:rsidR="00345F90">
        <w:t>:</w:t>
      </w:r>
    </w:p>
    <w:p w14:paraId="17AE2FF2" w14:textId="77777777" w:rsidR="00345F90" w:rsidRDefault="00A56ED8" w:rsidP="003E4B57">
      <w:pPr>
        <w:pStyle w:val="ListParagraph"/>
        <w:numPr>
          <w:ilvl w:val="0"/>
          <w:numId w:val="22"/>
        </w:numPr>
      </w:pPr>
      <w:r w:rsidRPr="005A3F27">
        <w:t>Renewable Energy</w:t>
      </w:r>
    </w:p>
    <w:p w14:paraId="6B1BCDF3" w14:textId="77777777" w:rsidR="00345F90" w:rsidRDefault="00A56ED8" w:rsidP="003E4B57">
      <w:pPr>
        <w:pStyle w:val="ListParagraph"/>
        <w:numPr>
          <w:ilvl w:val="0"/>
          <w:numId w:val="22"/>
        </w:numPr>
      </w:pPr>
      <w:r w:rsidRPr="005A3F27">
        <w:t>Energy Efficiency</w:t>
      </w:r>
    </w:p>
    <w:p w14:paraId="69D5449A" w14:textId="77777777" w:rsidR="00345F90" w:rsidRDefault="00345F90" w:rsidP="003E4B57">
      <w:pPr>
        <w:pStyle w:val="ListParagraph"/>
        <w:numPr>
          <w:ilvl w:val="0"/>
          <w:numId w:val="22"/>
        </w:numPr>
      </w:pPr>
      <w:r w:rsidRPr="005A3F27">
        <w:t>Clean Transportation</w:t>
      </w:r>
    </w:p>
    <w:p w14:paraId="68EB0283" w14:textId="77777777" w:rsidR="00345F90" w:rsidRDefault="00345F90" w:rsidP="003E4B57">
      <w:pPr>
        <w:pStyle w:val="ListParagraph"/>
        <w:numPr>
          <w:ilvl w:val="0"/>
          <w:numId w:val="22"/>
        </w:numPr>
      </w:pPr>
      <w:r w:rsidRPr="005A3F27">
        <w:t>Green Buildings</w:t>
      </w:r>
    </w:p>
    <w:p w14:paraId="432616F8" w14:textId="77777777" w:rsidR="00345F90" w:rsidRDefault="00345F90" w:rsidP="003E4B57">
      <w:pPr>
        <w:pStyle w:val="ListParagraph"/>
        <w:numPr>
          <w:ilvl w:val="0"/>
          <w:numId w:val="22"/>
        </w:numPr>
      </w:pPr>
      <w:r w:rsidRPr="005A3F27">
        <w:t xml:space="preserve">Climate Change Adaptation </w:t>
      </w:r>
    </w:p>
    <w:p w14:paraId="4EA3714A" w14:textId="00832B70" w:rsidR="00345F90" w:rsidRDefault="00A56ED8" w:rsidP="003E4B57">
      <w:pPr>
        <w:pStyle w:val="ListParagraph"/>
        <w:numPr>
          <w:ilvl w:val="0"/>
          <w:numId w:val="22"/>
        </w:numPr>
      </w:pPr>
      <w:r w:rsidRPr="005A3F27">
        <w:t>Sustainable Water and Wastewater Management</w:t>
      </w:r>
    </w:p>
    <w:p w14:paraId="1C01AB9E" w14:textId="77777777" w:rsidR="00345F90" w:rsidRDefault="00345F90" w:rsidP="003E4B57">
      <w:pPr>
        <w:pStyle w:val="ListParagraph"/>
        <w:numPr>
          <w:ilvl w:val="0"/>
          <w:numId w:val="22"/>
        </w:numPr>
      </w:pPr>
      <w:r w:rsidRPr="005A3F27">
        <w:t>Circular Economy and/or Eco-Efficient Projects</w:t>
      </w:r>
    </w:p>
    <w:p w14:paraId="07F4CCC0" w14:textId="7713ED04" w:rsidR="00345F90" w:rsidRDefault="00A56ED8" w:rsidP="003E4B57">
      <w:pPr>
        <w:pStyle w:val="ListParagraph"/>
        <w:numPr>
          <w:ilvl w:val="0"/>
          <w:numId w:val="22"/>
        </w:numPr>
      </w:pPr>
      <w:r w:rsidRPr="005A3F27">
        <w:t>Waste Management and Resource-Efficiency</w:t>
      </w:r>
    </w:p>
    <w:p w14:paraId="52789941" w14:textId="0BCB7BBC" w:rsidR="00345F90" w:rsidRDefault="00345F90" w:rsidP="003E4B57">
      <w:pPr>
        <w:pStyle w:val="ListParagraph"/>
        <w:numPr>
          <w:ilvl w:val="0"/>
          <w:numId w:val="22"/>
        </w:numPr>
      </w:pPr>
      <w:r>
        <w:t>Pollution prevention and control</w:t>
      </w:r>
    </w:p>
    <w:p w14:paraId="2F7B81AE" w14:textId="5C139A51" w:rsidR="00A56ED8" w:rsidRPr="005A3F27" w:rsidRDefault="00345F90" w:rsidP="003E4B57">
      <w:pPr>
        <w:pStyle w:val="ListParagraph"/>
        <w:numPr>
          <w:ilvl w:val="0"/>
          <w:numId w:val="22"/>
        </w:numPr>
      </w:pPr>
      <w:r>
        <w:t xml:space="preserve">Ecosystem management / </w:t>
      </w:r>
      <w:r w:rsidR="00A56ED8" w:rsidRPr="005A3F27">
        <w:t>Biodiversity</w:t>
      </w:r>
    </w:p>
    <w:p w14:paraId="0DF5F569" w14:textId="2F6D0D0F" w:rsidR="00752126" w:rsidRPr="005A3F27" w:rsidRDefault="0012407F" w:rsidP="00A56ED8">
      <w:r>
        <w:t xml:space="preserve">Some </w:t>
      </w:r>
      <w:r w:rsidR="00752126" w:rsidRPr="005A3F27">
        <w:t xml:space="preserve"> example</w:t>
      </w:r>
      <w:r>
        <w:t>s</w:t>
      </w:r>
      <w:r w:rsidR="00752126" w:rsidRPr="005A3F27">
        <w:t xml:space="preserve"> of impact reporting indicators used by the </w:t>
      </w:r>
      <w:r w:rsidR="00643AE0">
        <w:t>Bank</w:t>
      </w:r>
      <w:r w:rsidR="00752126" w:rsidRPr="005A3F27">
        <w:t xml:space="preserve"> </w:t>
      </w:r>
      <w:r>
        <w:t>are</w:t>
      </w:r>
      <w:r w:rsidR="00752126" w:rsidRPr="005A3F27">
        <w:t xml:space="preserve"> shown below</w:t>
      </w:r>
      <w:r w:rsidR="00146878">
        <w:t>:</w:t>
      </w:r>
    </w:p>
    <w:p w14:paraId="75B09C4B" w14:textId="7FA24AAC" w:rsidR="00752126" w:rsidRPr="00345F90" w:rsidRDefault="00752126" w:rsidP="00345F90">
      <w:pPr>
        <w:rPr>
          <w:b/>
          <w:bCs/>
        </w:rPr>
      </w:pPr>
      <w:r w:rsidRPr="00345F90">
        <w:rPr>
          <w:b/>
          <w:bCs/>
        </w:rPr>
        <w:t>Renewable Energy</w:t>
      </w:r>
    </w:p>
    <w:p w14:paraId="4DDDBF41" w14:textId="77777777" w:rsidR="00752126" w:rsidRPr="005A3F27" w:rsidRDefault="00752126" w:rsidP="00752126">
      <w:r w:rsidRPr="005A3F27">
        <w:t>Core Indicators</w:t>
      </w:r>
    </w:p>
    <w:p w14:paraId="4EFF0923" w14:textId="77777777" w:rsidR="00752126" w:rsidRPr="005A3F27" w:rsidRDefault="00752126" w:rsidP="00752126">
      <w:r w:rsidRPr="005A3F27">
        <w:t>#1) Annual GHG emissions reduced/avoided in tonnes of CO2 equivalent/a</w:t>
      </w:r>
    </w:p>
    <w:p w14:paraId="290E6C77" w14:textId="77777777" w:rsidR="00752126" w:rsidRPr="005A3F27" w:rsidRDefault="00752126" w:rsidP="00752126">
      <w:r w:rsidRPr="005A3F27">
        <w:t>#2) Annual renewable energy generation in MWh/GWh (electricity) and GJ/TJ (other energy)</w:t>
      </w:r>
    </w:p>
    <w:p w14:paraId="1017A6E5" w14:textId="2963E886" w:rsidR="00752126" w:rsidRPr="005A3F27" w:rsidRDefault="00752126" w:rsidP="00752126">
      <w:r w:rsidRPr="005A3F27">
        <w:t>#3) Capacity of renewable energy plant(s) constructed or rehabilitated in MW</w:t>
      </w:r>
    </w:p>
    <w:p w14:paraId="355F8436" w14:textId="77777777" w:rsidR="00A17458" w:rsidRDefault="00A17458" w:rsidP="00A17458">
      <w:pPr>
        <w:rPr>
          <w:b/>
          <w:bCs/>
        </w:rPr>
      </w:pPr>
    </w:p>
    <w:p w14:paraId="3BE161B3" w14:textId="6AE85FD2" w:rsidR="00A17458" w:rsidRPr="00345F90" w:rsidRDefault="00A17458" w:rsidP="00A17458">
      <w:pPr>
        <w:rPr>
          <w:b/>
          <w:bCs/>
        </w:rPr>
      </w:pPr>
      <w:r w:rsidRPr="00345F90">
        <w:rPr>
          <w:b/>
          <w:bCs/>
        </w:rPr>
        <w:t>Energy</w:t>
      </w:r>
      <w:r>
        <w:rPr>
          <w:b/>
          <w:bCs/>
        </w:rPr>
        <w:t xml:space="preserve"> Efficiency</w:t>
      </w:r>
    </w:p>
    <w:p w14:paraId="506DEB37" w14:textId="77777777" w:rsidR="00A17458" w:rsidRPr="005A3F27" w:rsidRDefault="00A17458" w:rsidP="00A17458">
      <w:r w:rsidRPr="005A3F27">
        <w:t>Core Indicators</w:t>
      </w:r>
    </w:p>
    <w:p w14:paraId="56B00C1E" w14:textId="210B9722" w:rsidR="00C4176A" w:rsidRDefault="0012407F" w:rsidP="0012407F">
      <w:r w:rsidRPr="005A3F27">
        <w:t>#1)</w:t>
      </w:r>
      <w:r>
        <w:t xml:space="preserve">   </w:t>
      </w:r>
      <w:r w:rsidR="00C80272">
        <w:rPr>
          <w:lang w:val="hy-AM"/>
        </w:rPr>
        <w:t xml:space="preserve">  </w:t>
      </w:r>
      <w:r w:rsidR="00C4176A">
        <w:rPr>
          <w:lang w:val="en-US"/>
        </w:rPr>
        <w:t xml:space="preserve">Absolute energy savings in </w:t>
      </w:r>
      <w:r w:rsidR="00C4176A">
        <w:t>k</w:t>
      </w:r>
      <w:r w:rsidR="00643AE0">
        <w:t>W</w:t>
      </w:r>
      <w:r w:rsidR="00C4176A">
        <w:t>h</w:t>
      </w:r>
    </w:p>
    <w:p w14:paraId="000DF3F0" w14:textId="7B00B4BD" w:rsidR="00C4176A" w:rsidRDefault="00C4176A" w:rsidP="0012407F">
      <w:pPr>
        <w:rPr>
          <w:lang w:val="en-US"/>
        </w:rPr>
      </w:pPr>
      <w:r w:rsidRPr="005A3F27">
        <w:t>#</w:t>
      </w:r>
      <w:r>
        <w:t>2</w:t>
      </w:r>
      <w:r w:rsidRPr="005A3F27">
        <w:t>)</w:t>
      </w:r>
      <w:r>
        <w:t xml:space="preserve">   </w:t>
      </w:r>
      <w:r>
        <w:rPr>
          <w:lang w:val="hy-AM"/>
        </w:rPr>
        <w:t xml:space="preserve">  </w:t>
      </w:r>
      <w:r>
        <w:rPr>
          <w:lang w:val="en-US"/>
        </w:rPr>
        <w:t>Relative</w:t>
      </w:r>
      <w:r>
        <w:rPr>
          <w:lang w:val="hy-AM"/>
        </w:rPr>
        <w:t xml:space="preserve"> </w:t>
      </w:r>
      <w:r>
        <w:rPr>
          <w:lang w:val="en-US"/>
        </w:rPr>
        <w:t>energy savings in %</w:t>
      </w:r>
    </w:p>
    <w:p w14:paraId="7C8CDFAB" w14:textId="38E2DA07" w:rsidR="00C4176A" w:rsidRPr="00C4176A" w:rsidRDefault="00C4176A" w:rsidP="0012407F">
      <w:pPr>
        <w:rPr>
          <w:b/>
          <w:bCs/>
          <w:lang w:val="en-US"/>
        </w:rPr>
        <w:sectPr w:rsidR="00C4176A" w:rsidRPr="00C4176A" w:rsidSect="000C3A41">
          <w:headerReference w:type="default" r:id="rId13"/>
          <w:footerReference w:type="even" r:id="rId14"/>
          <w:footerReference w:type="default" r:id="rId15"/>
          <w:headerReference w:type="first" r:id="rId16"/>
          <w:pgSz w:w="11906" w:h="16838" w:code="9"/>
          <w:pgMar w:top="1440" w:right="1080" w:bottom="1440" w:left="1080" w:header="567" w:footer="1006" w:gutter="0"/>
          <w:pgNumType w:start="1"/>
          <w:cols w:space="720"/>
          <w:titlePg/>
          <w:docGrid w:linePitch="299"/>
        </w:sectPr>
      </w:pPr>
      <w:r w:rsidRPr="005A3F27">
        <w:t>#</w:t>
      </w:r>
      <w:r>
        <w:t>3</w:t>
      </w:r>
      <w:r w:rsidRPr="005A3F27">
        <w:t>)</w:t>
      </w:r>
      <w:r>
        <w:t xml:space="preserve">   </w:t>
      </w:r>
      <w:r>
        <w:rPr>
          <w:lang w:val="hy-AM"/>
        </w:rPr>
        <w:t xml:space="preserve">  </w:t>
      </w:r>
      <w:r w:rsidR="004B5F51" w:rsidRPr="005A3F27">
        <w:t>Annual GHG emissions reduced/avoided in tonnes of CO2 equivalent/</w:t>
      </w:r>
      <w:r w:rsidR="004B5F51">
        <w:rPr>
          <w:lang w:val="en-US"/>
        </w:rPr>
        <w:t xml:space="preserve">     </w:t>
      </w:r>
    </w:p>
    <w:p w14:paraId="436D9AC8" w14:textId="413BFEF6" w:rsidR="00FD33D9" w:rsidRPr="005A3F27" w:rsidRDefault="00FD33D9" w:rsidP="00FC301B">
      <w:pPr>
        <w:pStyle w:val="Heading2"/>
      </w:pPr>
      <w:bookmarkStart w:id="65" w:name="_Toc104922171"/>
      <w:bookmarkStart w:id="66" w:name="_Toc109127516"/>
      <w:r w:rsidRPr="005A3F27">
        <w:lastRenderedPageBreak/>
        <w:t>E</w:t>
      </w:r>
      <w:r w:rsidR="00813C50">
        <w:t>x</w:t>
      </w:r>
      <w:r w:rsidR="00345F90">
        <w:t xml:space="preserve">ternal </w:t>
      </w:r>
      <w:bookmarkEnd w:id="65"/>
      <w:r w:rsidR="00345F90">
        <w:t>Reviews</w:t>
      </w:r>
      <w:bookmarkEnd w:id="66"/>
    </w:p>
    <w:p w14:paraId="1712C861" w14:textId="70E17FD2" w:rsidR="00FD33D9" w:rsidRPr="005A3F27" w:rsidRDefault="00FD33D9" w:rsidP="00FD33D9">
      <w:pPr>
        <w:pStyle w:val="Heading3"/>
      </w:pPr>
      <w:bookmarkStart w:id="67" w:name="_Toc109127517"/>
      <w:r w:rsidRPr="005A3F27">
        <w:t>Independent Second Party Opinion</w:t>
      </w:r>
      <w:bookmarkEnd w:id="67"/>
    </w:p>
    <w:p w14:paraId="43A18C00" w14:textId="003E2FEE" w:rsidR="0036259C" w:rsidRPr="005A3F27" w:rsidRDefault="0036259C" w:rsidP="00345F90">
      <w:r w:rsidRPr="00345F90">
        <w:rPr>
          <w:b/>
          <w:bCs/>
        </w:rPr>
        <w:t>The Bank</w:t>
      </w:r>
      <w:r w:rsidRPr="005A3F27">
        <w:t xml:space="preserve"> will commission a Second Party Opinion for its Framework</w:t>
      </w:r>
      <w:r w:rsidR="006E7DF6">
        <w:t xml:space="preserve">, which </w:t>
      </w:r>
      <w:r w:rsidRPr="005A3F27">
        <w:t>will confirm that the Framework complies with the Principles. This Second Party Opinion as well as the Framework will be made available to the Investors (i.e. will be displayed on the Luxembourg Green Exchange or any Local or International Exchange on which the Green Bond will be listed).</w:t>
      </w:r>
    </w:p>
    <w:p w14:paraId="31842AFD" w14:textId="77777777" w:rsidR="002A1904" w:rsidRPr="005A3F27" w:rsidRDefault="002A1904" w:rsidP="002A1904"/>
    <w:p w14:paraId="36720886" w14:textId="77777777" w:rsidR="002A1904" w:rsidRPr="005A3F27" w:rsidRDefault="002A1904" w:rsidP="002A1904">
      <w:pPr>
        <w:pStyle w:val="Heading3"/>
      </w:pPr>
      <w:bookmarkStart w:id="68" w:name="_Toc109127518"/>
      <w:r w:rsidRPr="005A3F27">
        <w:t>External Verification</w:t>
      </w:r>
      <w:bookmarkEnd w:id="68"/>
    </w:p>
    <w:p w14:paraId="51C39AA6" w14:textId="0F763529" w:rsidR="00E10D2E" w:rsidRPr="005A3F27" w:rsidRDefault="002A1904" w:rsidP="00516617">
      <w:r w:rsidRPr="00345F90">
        <w:rPr>
          <w:b/>
          <w:bCs/>
        </w:rPr>
        <w:t xml:space="preserve">The </w:t>
      </w:r>
      <w:r w:rsidR="00345F90" w:rsidRPr="00345F90">
        <w:rPr>
          <w:b/>
          <w:bCs/>
        </w:rPr>
        <w:t xml:space="preserve">Bank </w:t>
      </w:r>
      <w:r w:rsidR="00345F90">
        <w:t xml:space="preserve">may </w:t>
      </w:r>
      <w:r w:rsidRPr="005A3F27">
        <w:t>request on an annual basis an external verification on each or a specific bond issued or loan structured under its Framework. In such case the verification may be provided starting one year after the issuance of or after the full amount has been allocated to Eligible Projects. Such external verification may be provided by an auditor or an external expert.</w:t>
      </w:r>
    </w:p>
    <w:p w14:paraId="75962678" w14:textId="67FC367F" w:rsidR="00E10D2E" w:rsidRPr="005A3F27" w:rsidRDefault="00E10D2E" w:rsidP="00516617">
      <w:pPr>
        <w:sectPr w:rsidR="00E10D2E" w:rsidRPr="005A3F27" w:rsidSect="00825D59">
          <w:headerReference w:type="even" r:id="rId17"/>
          <w:footerReference w:type="default" r:id="rId18"/>
          <w:pgSz w:w="11900" w:h="16840"/>
          <w:pgMar w:top="1417" w:right="1417" w:bottom="1417" w:left="1417" w:header="708" w:footer="708" w:gutter="0"/>
          <w:cols w:space="708"/>
          <w:docGrid w:linePitch="360"/>
        </w:sectPr>
      </w:pPr>
    </w:p>
    <w:p w14:paraId="2DE12204" w14:textId="7CC31317" w:rsidR="009861AE" w:rsidRPr="005A3F27" w:rsidRDefault="009861AE" w:rsidP="009861AE">
      <w:pPr>
        <w:pStyle w:val="Heading1"/>
        <w:numPr>
          <w:ilvl w:val="0"/>
          <w:numId w:val="0"/>
        </w:numPr>
      </w:pPr>
      <w:bookmarkStart w:id="69" w:name="_Toc109127519"/>
      <w:bookmarkStart w:id="70" w:name="_Toc104922172"/>
      <w:r w:rsidRPr="005A3F27">
        <w:lastRenderedPageBreak/>
        <w:t>Annex 1: Relevant background information about Armenia</w:t>
      </w:r>
      <w:bookmarkEnd w:id="69"/>
    </w:p>
    <w:p w14:paraId="39D3AE1E" w14:textId="7E4BC26C" w:rsidR="009861AE" w:rsidRPr="005A3F27" w:rsidRDefault="009861AE" w:rsidP="009861AE">
      <w:pPr>
        <w:pStyle w:val="Heading2"/>
        <w:numPr>
          <w:ilvl w:val="0"/>
          <w:numId w:val="0"/>
        </w:numPr>
      </w:pPr>
      <w:bookmarkStart w:id="71" w:name="_Toc109127520"/>
      <w:r w:rsidRPr="005A3F27">
        <w:t>Armenia Financial Ecosystem and meeting the Paris Agreement targets and ESG goals</w:t>
      </w:r>
      <w:bookmarkEnd w:id="71"/>
    </w:p>
    <w:p w14:paraId="08CB7F75" w14:textId="77777777" w:rsidR="009861AE" w:rsidRPr="005A3F27" w:rsidRDefault="009861AE" w:rsidP="009861AE">
      <w:r w:rsidRPr="005A3F27">
        <w:t xml:space="preserve">The </w:t>
      </w:r>
      <w:r w:rsidRPr="005A3F27">
        <w:rPr>
          <w:b/>
          <w:bCs/>
        </w:rPr>
        <w:t>Central Bank of Armenia</w:t>
      </w:r>
      <w:r w:rsidRPr="005A3F27">
        <w:rPr>
          <w:rStyle w:val="FootnoteReference"/>
          <w:rFonts w:asciiTheme="minorHAnsi" w:hAnsiTheme="minorHAnsi" w:cstheme="minorHAnsi"/>
        </w:rPr>
        <w:footnoteReference w:id="18"/>
      </w:r>
      <w:r w:rsidRPr="005A3F27">
        <w:t xml:space="preserve"> (CBA) is the central bank of Armenia with its headquarters in Yerevan. </w:t>
      </w:r>
      <w:r w:rsidRPr="005A3F27">
        <w:rPr>
          <w:b/>
          <w:bCs/>
        </w:rPr>
        <w:t>CBA</w:t>
      </w:r>
      <w:r w:rsidRPr="005A3F27">
        <w:t xml:space="preserve"> is an independent institution responsible for issuing all banknotes and coins in the country, overseeing and regulating the banking sector and keeping the government's currency reserves. </w:t>
      </w:r>
      <w:r w:rsidRPr="005A3F27">
        <w:rPr>
          <w:b/>
          <w:bCs/>
        </w:rPr>
        <w:t xml:space="preserve">CBA </w:t>
      </w:r>
      <w:r w:rsidRPr="005A3F27">
        <w:t>is also the sole owner of the Armenian Mint.</w:t>
      </w:r>
    </w:p>
    <w:p w14:paraId="01E554B8" w14:textId="77777777" w:rsidR="009861AE" w:rsidRPr="005A3F27" w:rsidRDefault="009861AE" w:rsidP="009861AE">
      <w:r w:rsidRPr="005A3F27">
        <w:t>CBA’s primary mission is to regulate the banking and financial sector in Armenia as such as to contribute to the stability of the financial sector and also, indirectly, facilitate the development</w:t>
      </w:r>
      <w:r w:rsidRPr="005A3F27">
        <w:rPr>
          <w:spacing w:val="1"/>
        </w:rPr>
        <w:t xml:space="preserve"> </w:t>
      </w:r>
      <w:r w:rsidRPr="005A3F27">
        <w:t>impact</w:t>
      </w:r>
      <w:r w:rsidRPr="005A3F27">
        <w:rPr>
          <w:spacing w:val="1"/>
        </w:rPr>
        <w:t xml:space="preserve"> </w:t>
      </w:r>
      <w:r w:rsidRPr="005A3F27">
        <w:t>in</w:t>
      </w:r>
      <w:r w:rsidRPr="005A3F27">
        <w:rPr>
          <w:spacing w:val="1"/>
        </w:rPr>
        <w:t xml:space="preserve"> </w:t>
      </w:r>
      <w:r w:rsidRPr="005A3F27">
        <w:t>the</w:t>
      </w:r>
      <w:r w:rsidRPr="005A3F27">
        <w:rPr>
          <w:spacing w:val="1"/>
        </w:rPr>
        <w:t xml:space="preserve"> </w:t>
      </w:r>
      <w:r w:rsidRPr="005A3F27">
        <w:t>country</w:t>
      </w:r>
      <w:r w:rsidRPr="005A3F27">
        <w:rPr>
          <w:spacing w:val="1"/>
        </w:rPr>
        <w:t xml:space="preserve"> </w:t>
      </w:r>
      <w:r w:rsidRPr="005A3F27">
        <w:t>by</w:t>
      </w:r>
      <w:r w:rsidRPr="005A3F27">
        <w:rPr>
          <w:spacing w:val="1"/>
        </w:rPr>
        <w:t xml:space="preserve"> </w:t>
      </w:r>
      <w:r w:rsidRPr="005A3F27">
        <w:t>expanding</w:t>
      </w:r>
      <w:r w:rsidRPr="005A3F27">
        <w:rPr>
          <w:spacing w:val="1"/>
        </w:rPr>
        <w:t xml:space="preserve"> </w:t>
      </w:r>
      <w:r w:rsidRPr="005A3F27">
        <w:t>access</w:t>
      </w:r>
      <w:r w:rsidRPr="005A3F27">
        <w:rPr>
          <w:spacing w:val="1"/>
        </w:rPr>
        <w:t xml:space="preserve"> </w:t>
      </w:r>
      <w:r w:rsidRPr="005A3F27">
        <w:t>to</w:t>
      </w:r>
      <w:r w:rsidRPr="005A3F27">
        <w:rPr>
          <w:spacing w:val="1"/>
        </w:rPr>
        <w:t xml:space="preserve"> </w:t>
      </w:r>
      <w:r w:rsidRPr="005A3F27">
        <w:t>development</w:t>
      </w:r>
      <w:r w:rsidRPr="005A3F27">
        <w:rPr>
          <w:spacing w:val="14"/>
        </w:rPr>
        <w:t xml:space="preserve"> </w:t>
      </w:r>
      <w:r w:rsidRPr="005A3F27">
        <w:t>finance</w:t>
      </w:r>
      <w:r w:rsidRPr="005A3F27">
        <w:rPr>
          <w:spacing w:val="16"/>
        </w:rPr>
        <w:t xml:space="preserve"> </w:t>
      </w:r>
      <w:r w:rsidRPr="005A3F27">
        <w:t>and</w:t>
      </w:r>
      <w:r w:rsidRPr="005A3F27">
        <w:rPr>
          <w:spacing w:val="13"/>
        </w:rPr>
        <w:t xml:space="preserve"> </w:t>
      </w:r>
      <w:r w:rsidRPr="005A3F27">
        <w:t>effectively</w:t>
      </w:r>
      <w:r w:rsidRPr="005A3F27">
        <w:rPr>
          <w:spacing w:val="13"/>
        </w:rPr>
        <w:t xml:space="preserve"> </w:t>
      </w:r>
      <w:r w:rsidRPr="005A3F27">
        <w:t>integrating</w:t>
      </w:r>
      <w:r w:rsidRPr="005A3F27">
        <w:rPr>
          <w:spacing w:val="13"/>
        </w:rPr>
        <w:t xml:space="preserve"> </w:t>
      </w:r>
      <w:r w:rsidRPr="005A3F27">
        <w:t>and</w:t>
      </w:r>
      <w:r w:rsidRPr="005A3F27">
        <w:rPr>
          <w:spacing w:val="14"/>
        </w:rPr>
        <w:t xml:space="preserve"> </w:t>
      </w:r>
      <w:r w:rsidRPr="005A3F27">
        <w:t>implementing</w:t>
      </w:r>
      <w:r w:rsidRPr="005A3F27">
        <w:rPr>
          <w:spacing w:val="15"/>
        </w:rPr>
        <w:t xml:space="preserve"> </w:t>
      </w:r>
      <w:r w:rsidRPr="005A3F27">
        <w:t>sustainable</w:t>
      </w:r>
      <w:r w:rsidRPr="005A3F27">
        <w:rPr>
          <w:spacing w:val="16"/>
        </w:rPr>
        <w:t xml:space="preserve"> </w:t>
      </w:r>
      <w:r w:rsidRPr="005A3F27">
        <w:t>development</w:t>
      </w:r>
      <w:r w:rsidRPr="005A3F27">
        <w:rPr>
          <w:spacing w:val="14"/>
        </w:rPr>
        <w:t xml:space="preserve"> </w:t>
      </w:r>
      <w:r w:rsidRPr="005A3F27">
        <w:t xml:space="preserve">solutions (on the policy and regulatory side). Within the financial ecosystem of Armenia (AFE), a number of private and public banks provide debt and bond financing for various sustainable development, energy and infrastructure sectors, mostly for the private sector.  </w:t>
      </w:r>
    </w:p>
    <w:p w14:paraId="55EFC692" w14:textId="77777777" w:rsidR="009861AE" w:rsidRPr="005A3F27" w:rsidRDefault="009861AE" w:rsidP="009861AE">
      <w:r w:rsidRPr="005A3F27">
        <w:t xml:space="preserve">There is no such institution as a Development Bank in Armenia, and hence development initiative and financing tends to be fragmented between the various DFI initiatives. Albeit CBA’s main role is that of a regulator to the financial sector, it also acts as a “Go between” and facilitating institution for a number of key Development Financial Institution (DFI) development programme and loan facilities. </w:t>
      </w:r>
    </w:p>
    <w:p w14:paraId="6AA1C3ED" w14:textId="77777777" w:rsidR="009861AE" w:rsidRPr="005A3F27" w:rsidRDefault="009861AE" w:rsidP="009861AE">
      <w:r w:rsidRPr="005A3F27">
        <w:t xml:space="preserve">In most countries a national Development Bank activity would span the entire infrastructure development value chain and include active participation in the preparation, structuring, funding, and implementation of green infrastructure solutions. In Armenia, the CBA works with such prominent donors such as the German-Armenian Fund, EBRD, and other Multilateral and bi-lateral Development Banks to support/facilitate the planning, preparation, and financing for banks, and various green infrastructure and climate mitigation initiatives.  </w:t>
      </w:r>
    </w:p>
    <w:p w14:paraId="5AE659BA" w14:textId="77777777" w:rsidR="009861AE" w:rsidRPr="005A3F27" w:rsidRDefault="009861AE" w:rsidP="009861AE">
      <w:r w:rsidRPr="005A3F27">
        <w:t xml:space="preserve">As of December 2020, the financial sector consisted of 17 commercial banks, 44 universal credit organizations, 8 insurance companies, 4 insurance brokers, a number of pawnshops, exchange bureaus, and money transfer companies. The financial leasing activities are considered financial intermediation and thus can be carried out by banks and universal credit organizations only. In 2015, the CBA changed commercial banks capital requirements, defined by the Regulation on Banking, Prudential Standards of Banking, which came into force beginning January 2017. </w:t>
      </w:r>
    </w:p>
    <w:p w14:paraId="520D0D5C" w14:textId="77777777" w:rsidR="009861AE" w:rsidRPr="005A3F27" w:rsidRDefault="009861AE" w:rsidP="009861AE">
      <w:r w:rsidRPr="005A3F27">
        <w:t xml:space="preserve">The most significant financial market participant is the banking sector, accounting for around 90% of the total assets of the financial system. The banking sector in turn, is quite concentrated, with the 51% of total assets in banking being owned by 4 largest banks.  </w:t>
      </w:r>
    </w:p>
    <w:p w14:paraId="59C665A0" w14:textId="77777777" w:rsidR="009861AE" w:rsidRPr="005A3F27" w:rsidRDefault="009861AE" w:rsidP="009861AE">
      <w:r w:rsidRPr="005A3F27">
        <w:lastRenderedPageBreak/>
        <w:t>The financial sector has a well-founded regulatory and supervisory system, with the CBA as the regulator in charge of banking and non-banking supervision, financial stability, protection of consumer rights and market conduct in the financial system. The financial sector of Armenia is considered resilient, which proved as such in the face the Global financial crisis of 2007-2008, the Russian crisis of 2014, 2018 revolution, socio-economic challenges caused by COVID-19 and Nagorno-Karabakh war in 2020.</w:t>
      </w:r>
    </w:p>
    <w:p w14:paraId="2B3597D9" w14:textId="77777777" w:rsidR="009861AE" w:rsidRPr="005A3F27" w:rsidRDefault="009861AE" w:rsidP="009861AE"/>
    <w:p w14:paraId="420F28D0" w14:textId="77777777" w:rsidR="009861AE" w:rsidRPr="005A3F27" w:rsidRDefault="009861AE" w:rsidP="009861AE">
      <w:pPr>
        <w:pStyle w:val="Heading2"/>
        <w:numPr>
          <w:ilvl w:val="0"/>
          <w:numId w:val="0"/>
        </w:numPr>
      </w:pPr>
      <w:bookmarkStart w:id="72" w:name="_Toc104922154"/>
      <w:bookmarkStart w:id="73" w:name="_Toc109127521"/>
      <w:r w:rsidRPr="005A3F27">
        <w:t>Armenia NDC (Nationally Determined Contribution) Plan Commitment to Sustainable Development</w:t>
      </w:r>
      <w:bookmarkEnd w:id="72"/>
      <w:bookmarkEnd w:id="73"/>
    </w:p>
    <w:p w14:paraId="5A9D8A41" w14:textId="77777777" w:rsidR="009861AE" w:rsidRPr="005A3F27" w:rsidRDefault="009861AE" w:rsidP="009861AE">
      <w:r w:rsidRPr="005A3F27">
        <w:t xml:space="preserve">Green and sustainable financing and green debt securities issuance are still in their infancy in Armenia, although most Bank’s stakeholders do recognize the incoming importance and relevance of this growing financing segment. Below is a summary of the key issues and opportunities related to green financing. </w:t>
      </w:r>
    </w:p>
    <w:p w14:paraId="68CDBF85" w14:textId="77777777" w:rsidR="009861AE" w:rsidRPr="005A3F27" w:rsidRDefault="009861AE" w:rsidP="009861AE">
      <w:r w:rsidRPr="005A3F27">
        <w:t xml:space="preserve">Green finance is usually divided into 2 major groups: </w:t>
      </w:r>
    </w:p>
    <w:p w14:paraId="38393E56" w14:textId="77777777" w:rsidR="009861AE" w:rsidRPr="005A3F27" w:rsidRDefault="009861AE" w:rsidP="009861AE">
      <w:r w:rsidRPr="005A3F27">
        <w:t xml:space="preserve">1) financing climate change mitigation and </w:t>
      </w:r>
    </w:p>
    <w:p w14:paraId="07194E19" w14:textId="77777777" w:rsidR="009861AE" w:rsidRPr="005A3F27" w:rsidRDefault="009861AE" w:rsidP="009861AE">
      <w:r w:rsidRPr="005A3F27">
        <w:t xml:space="preserve">2) financing climate change adaptation. </w:t>
      </w:r>
    </w:p>
    <w:p w14:paraId="70D5DB4A" w14:textId="77777777" w:rsidR="009861AE" w:rsidRPr="005A3F27" w:rsidRDefault="009861AE" w:rsidP="009861AE">
      <w:r w:rsidRPr="005A3F27">
        <w:t>It is well-known that more financing has been provided/allocated to financing mitigation rather than adaption measures worldwide due to different reasons. The situation is not different in Armenia: many financial institutions are already more or less specialized in financing mitigation, while adaptation financing is not yet under radar in the Financial institutions.</w:t>
      </w:r>
    </w:p>
    <w:p w14:paraId="574A874A" w14:textId="77777777" w:rsidR="009861AE" w:rsidRPr="005A3F27" w:rsidRDefault="009861AE" w:rsidP="009861AE">
      <w:r w:rsidRPr="005A3F27">
        <w:t xml:space="preserve">While climate change mitigation financing approaches can be very similar from country to country due to the fact that all measures are targeted at the reduction of GHG emissions and do not have country specifics, the case with climate change adaptation financing is country specific as each region/country has its specific climate change risk concentrations and respective foreseen adaptation measures. For instance, part of Armenia are mountainous areas, where Alpine lakes such as the Sevan Lake (1200 km2) have been used extensively for mass agriculture and water supply and also affected by dryer years (due to climate change). Proactive water management, sustainable agriculture and biodiversity preservation would be area of focus in the context of climate change adaptation.  </w:t>
      </w:r>
    </w:p>
    <w:p w14:paraId="613500D1" w14:textId="77777777" w:rsidR="009861AE" w:rsidRPr="005A3F27" w:rsidRDefault="009861AE" w:rsidP="009861AE">
      <w:r w:rsidRPr="005A3F27">
        <w:t xml:space="preserve">The transformation of the updated </w:t>
      </w:r>
      <w:r w:rsidRPr="005A3F27">
        <w:rPr>
          <w:b/>
          <w:bCs/>
        </w:rPr>
        <w:t xml:space="preserve">NDC to the Paris Agreement </w:t>
      </w:r>
      <w:r w:rsidRPr="005A3F27">
        <w:t xml:space="preserve">(for Armenia) into tangible actions is a challenge in Armenia, given a relatively passive public policy on the matter. Given the fact that the reporting on its NDC commitments should be made on a 5-year basis, preparation of NDC Implementation Plan is initiated for more effective and efficient implementation of the NDCs. </w:t>
      </w:r>
    </w:p>
    <w:p w14:paraId="496D3116" w14:textId="77777777" w:rsidR="009861AE" w:rsidRPr="005A3F27" w:rsidRDefault="009861AE" w:rsidP="009861AE">
      <w:r w:rsidRPr="005A3F27">
        <w:t xml:space="preserve">Currently, most of the climate actions and green financing initiatives are undertaken and financed by </w:t>
      </w:r>
      <w:r w:rsidRPr="005A3F27">
        <w:rPr>
          <w:b/>
          <w:bCs/>
        </w:rPr>
        <w:t>Development Financial Institutions (DFIs).</w:t>
      </w:r>
      <w:r w:rsidRPr="005A3F27">
        <w:t xml:space="preserve"> Armenia Financial Ecosystem (AFE) as well as the BANK works closely with key DFIs (EBRD, KfW, GIZ, Eurasian Development Bank, AFD, FMO, ADB, others) on financing key infrastructure needs of Armenia. In an ideal world, private banks, Public-Private Partnership (PPP) entities and corporate players should also be involved in sustainable infrastructure financing. The primary areas of operations and interventions of such development and green finance should look as in the diagram below </w:t>
      </w:r>
      <w:r w:rsidRPr="005A3F27">
        <w:lastRenderedPageBreak/>
        <w:t xml:space="preserve">(example on social and environmental infrastructure financing at municipal level, from the point of view of a Development Bank).  </w:t>
      </w:r>
    </w:p>
    <w:p w14:paraId="4E5C20A6" w14:textId="77777777" w:rsidR="00D00014" w:rsidRDefault="009861AE" w:rsidP="00D00014">
      <w:pPr>
        <w:pStyle w:val="Graph"/>
        <w:keepNext/>
      </w:pPr>
      <w:r w:rsidRPr="005A3F27">
        <w:rPr>
          <w:noProof/>
        </w:rPr>
        <w:drawing>
          <wp:inline distT="0" distB="0" distL="0" distR="0" wp14:anchorId="73A0DFA0" wp14:editId="40CE85DF">
            <wp:extent cx="5851657" cy="1965960"/>
            <wp:effectExtent l="0" t="0" r="0" b="0"/>
            <wp:docPr id="15" name="image43.png"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43.png" descr="Diagram&#10;&#10;Description automatically generated"/>
                    <pic:cNvPicPr/>
                  </pic:nvPicPr>
                  <pic:blipFill>
                    <a:blip r:embed="rId19" cstate="print"/>
                    <a:stretch>
                      <a:fillRect/>
                    </a:stretch>
                  </pic:blipFill>
                  <pic:spPr>
                    <a:xfrm>
                      <a:off x="0" y="0"/>
                      <a:ext cx="5851657" cy="1965960"/>
                    </a:xfrm>
                    <a:prstGeom prst="rect">
                      <a:avLst/>
                    </a:prstGeom>
                  </pic:spPr>
                </pic:pic>
              </a:graphicData>
            </a:graphic>
          </wp:inline>
        </w:drawing>
      </w:r>
    </w:p>
    <w:p w14:paraId="3F5D58A5" w14:textId="5E30EA31" w:rsidR="00D00014" w:rsidRDefault="00D00014" w:rsidP="00D00014">
      <w:pPr>
        <w:pStyle w:val="Caption"/>
        <w:jc w:val="center"/>
      </w:pPr>
      <w:r>
        <w:t xml:space="preserve">Figure </w:t>
      </w:r>
      <w:r>
        <w:fldChar w:fldCharType="begin"/>
      </w:r>
      <w:r>
        <w:instrText xml:space="preserve"> SEQ Figure \* ARABIC </w:instrText>
      </w:r>
      <w:r>
        <w:fldChar w:fldCharType="separate"/>
      </w:r>
      <w:r>
        <w:rPr>
          <w:noProof/>
        </w:rPr>
        <w:t>2</w:t>
      </w:r>
      <w:r>
        <w:fldChar w:fldCharType="end"/>
      </w:r>
      <w:r>
        <w:t>:</w:t>
      </w:r>
      <w:r w:rsidRPr="00D00014">
        <w:t xml:space="preserve"> N 1 Green and social infrastructure planning and financing</w:t>
      </w:r>
      <w:r>
        <w:t xml:space="preserve"> </w:t>
      </w:r>
    </w:p>
    <w:p w14:paraId="269EFC01" w14:textId="77777777" w:rsidR="009861AE" w:rsidRPr="005A3F27" w:rsidRDefault="009861AE" w:rsidP="009861AE">
      <w:r w:rsidRPr="005A3F27">
        <w:t xml:space="preserve">One of the core goals of the NDC Implementation Plan is the identification of the priority activities and assessment of resource needs. Armenia will need sustained financial, capacity building and technical support to regularly prepare, implement, and report on national actions under the Paris Agreement. </w:t>
      </w:r>
    </w:p>
    <w:p w14:paraId="3C3674D3" w14:textId="77777777" w:rsidR="009861AE" w:rsidRPr="005A3F27" w:rsidRDefault="009861AE" w:rsidP="009861AE">
      <w:r w:rsidRPr="005A3F27">
        <w:t xml:space="preserve">The UNDP supports the Government in the NDC implementation as a mechanism to scale up investment in climate change and deliver sustainable development. </w:t>
      </w:r>
    </w:p>
    <w:p w14:paraId="102CA0EA" w14:textId="77777777" w:rsidR="009861AE" w:rsidRPr="005A3F27" w:rsidRDefault="009861AE" w:rsidP="009861AE">
      <w:r w:rsidRPr="005A3F27">
        <w:t xml:space="preserve">Development of </w:t>
      </w:r>
      <w:r w:rsidRPr="005A3F27">
        <w:rPr>
          <w:b/>
          <w:bCs/>
        </w:rPr>
        <w:t xml:space="preserve">Financing Strategy and Investment Plan </w:t>
      </w:r>
      <w:r w:rsidRPr="005A3F27">
        <w:t>is part of the NDC National Implementation Plan. Armenia aims to develop a debt-for-climate innovative financial swap mechanism, which aims to attract additional financing into climate action.</w:t>
      </w:r>
    </w:p>
    <w:p w14:paraId="1B25F7D1" w14:textId="77777777" w:rsidR="009861AE" w:rsidRPr="005A3F27" w:rsidRDefault="009861AE" w:rsidP="009861AE">
      <w:r w:rsidRPr="005A3F27">
        <w:t xml:space="preserve">The NDC </w:t>
      </w:r>
      <w:r w:rsidRPr="005A3F27">
        <w:rPr>
          <w:b/>
          <w:bCs/>
        </w:rPr>
        <w:t xml:space="preserve">Financing Strategy and Investment Plan </w:t>
      </w:r>
      <w:r w:rsidRPr="005A3F27">
        <w:t>will be designed to enhance the mobilization of funding from: 1) public finance sources, both national and international; 2) private sector participation and investment sources; and 3) innovative financing mechanisms, including but not limited to carbon finance.</w:t>
      </w:r>
    </w:p>
    <w:p w14:paraId="1AA0D95B" w14:textId="77777777" w:rsidR="009861AE" w:rsidRPr="005A3F27" w:rsidRDefault="009861AE" w:rsidP="009861AE">
      <w:r w:rsidRPr="005A3F27">
        <w:t xml:space="preserve">The Assessment of Investment Needs for Climate Action in Armenia up to 2030 report prepared by the OECD suggests that Armenia will need to invest at least USD 5.7 billion for mitigation and adaptation measures if one excludes investments in nuclear power plant (the investment cost including the nuclear power plant is USD 8.3 billion.  </w:t>
      </w:r>
    </w:p>
    <w:p w14:paraId="27BF3607" w14:textId="77777777" w:rsidR="009861AE" w:rsidRPr="005A3F27" w:rsidRDefault="009861AE" w:rsidP="009861AE">
      <w:r w:rsidRPr="005A3F27">
        <w:t xml:space="preserve">These are clearly high-level estimates of Sustainable and Climate mitigation and adaptation needs.  Both Armenia public sector and private sector (based in direct interviews made in Q2 2022) are not yet ready, from an institutional and green strategy point of view, to start planning and structuring such large green infrastructure projects, although there is a willingness to start working on it.  Increased international pressure from partner countries, regions (EU Green Deal) and also each new COP and IPCC (Intergovernmental Panel on Climate Change) will certainly mount in the next 3 to 5 years, putting Climate change mitigation and the “Greening of Armenia” to become priority policy area for both the government and the banking sector. </w:t>
      </w:r>
    </w:p>
    <w:p w14:paraId="5FC4573B" w14:textId="4EB8A51A" w:rsidR="009861AE" w:rsidRPr="005A3F27" w:rsidRDefault="009861AE" w:rsidP="009861AE">
      <w:pPr>
        <w:pStyle w:val="Caption"/>
        <w:jc w:val="center"/>
      </w:pPr>
      <w:r w:rsidRPr="005A3F27">
        <w:lastRenderedPageBreak/>
        <w:t xml:space="preserve">Table </w:t>
      </w:r>
      <w:r w:rsidRPr="005A3F27">
        <w:fldChar w:fldCharType="begin"/>
      </w:r>
      <w:r w:rsidRPr="005A3F27">
        <w:instrText xml:space="preserve"> SEQ Table \* ARABIC </w:instrText>
      </w:r>
      <w:r w:rsidRPr="005A3F27">
        <w:fldChar w:fldCharType="separate"/>
      </w:r>
      <w:r w:rsidR="00937E4A">
        <w:rPr>
          <w:noProof/>
        </w:rPr>
        <w:t>2</w:t>
      </w:r>
      <w:r w:rsidRPr="005A3F27">
        <w:fldChar w:fldCharType="end"/>
      </w:r>
      <w:r w:rsidRPr="005A3F27">
        <w:t>: Estimated costs of climate mitigation measures for Armenia</w:t>
      </w:r>
      <w:r w:rsidRPr="005A3F27">
        <w:rPr>
          <w:vertAlign w:val="superscript"/>
        </w:rPr>
        <w:footnoteReference w:id="19"/>
      </w:r>
    </w:p>
    <w:p w14:paraId="24CAC923" w14:textId="77777777" w:rsidR="009861AE" w:rsidRPr="005A3F27" w:rsidRDefault="009861AE" w:rsidP="009861AE">
      <w:pPr>
        <w:jc w:val="center"/>
      </w:pPr>
      <w:r w:rsidRPr="005A3F27">
        <w:rPr>
          <w:noProof/>
        </w:rPr>
        <w:drawing>
          <wp:inline distT="0" distB="0" distL="0" distR="0" wp14:anchorId="63C16F65" wp14:editId="0EDB6C02">
            <wp:extent cx="4798695" cy="4630993"/>
            <wp:effectExtent l="0" t="0" r="1905" b="5080"/>
            <wp:docPr id="395" name="Picture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b="4275"/>
                    <a:stretch/>
                  </pic:blipFill>
                  <pic:spPr bwMode="auto">
                    <a:xfrm>
                      <a:off x="0" y="0"/>
                      <a:ext cx="4799261" cy="4631539"/>
                    </a:xfrm>
                    <a:prstGeom prst="rect">
                      <a:avLst/>
                    </a:prstGeom>
                    <a:noFill/>
                    <a:ln>
                      <a:noFill/>
                    </a:ln>
                    <a:extLst>
                      <a:ext uri="{53640926-AAD7-44D8-BBD7-CCE9431645EC}">
                        <a14:shadowObscured xmlns:a14="http://schemas.microsoft.com/office/drawing/2010/main"/>
                      </a:ext>
                    </a:extLst>
                  </pic:spPr>
                </pic:pic>
              </a:graphicData>
            </a:graphic>
          </wp:inline>
        </w:drawing>
      </w:r>
    </w:p>
    <w:p w14:paraId="1292F9BE" w14:textId="77777777" w:rsidR="009861AE" w:rsidRPr="005A3F27" w:rsidRDefault="009861AE" w:rsidP="009861AE">
      <w:r w:rsidRPr="005A3F27">
        <w:t xml:space="preserve">This is not by any means an exhaustive list, to which we should add such key sectors (for Armenia) as agriculture, agri-business, forestry, land conservation and restoration, sustainable water management, biodiversity and eco-system conservation, and eco-efficient products, production technologies and processes (according to ICMA and the more recent EU Taxonomy).  </w:t>
      </w:r>
    </w:p>
    <w:p w14:paraId="2B83A014" w14:textId="77777777" w:rsidR="009861AE" w:rsidRPr="005A3F27" w:rsidRDefault="009861AE" w:rsidP="009861AE">
      <w:r w:rsidRPr="005A3F27">
        <w:t xml:space="preserve">The largest share of investments is in mitigation activities – around 4.7 billion in gross fixed assets in order to achieve its climate action targets by 2030 (the Table 1 presents the split of these costs). The planned actions are mainly in </w:t>
      </w:r>
      <w:r w:rsidRPr="005A3F27">
        <w:rPr>
          <w:b/>
          <w:bCs/>
        </w:rPr>
        <w:t>energy, transport, agriculture and waste management sectors</w:t>
      </w:r>
      <w:r w:rsidRPr="005A3F27">
        <w:t>. The costs are based on investment costs (capital expenditure) and reflect the level of short-term effort and do not reflect long-term cost of these measures, meaning that neither the long-term operating costs nor benefits are taken into account.</w:t>
      </w:r>
    </w:p>
    <w:p w14:paraId="7089FD36" w14:textId="77777777" w:rsidR="00E230C4" w:rsidRDefault="00E230C4" w:rsidP="009861AE">
      <w:pPr>
        <w:sectPr w:rsidR="00E230C4" w:rsidSect="009861AE">
          <w:headerReference w:type="even" r:id="rId21"/>
          <w:footerReference w:type="default" r:id="rId22"/>
          <w:pgSz w:w="11900" w:h="16840"/>
          <w:pgMar w:top="1417" w:right="1417" w:bottom="1417" w:left="1417" w:header="708" w:footer="708" w:gutter="0"/>
          <w:cols w:space="708"/>
          <w:docGrid w:linePitch="360"/>
        </w:sectPr>
      </w:pPr>
    </w:p>
    <w:p w14:paraId="709C276E" w14:textId="27B9A060" w:rsidR="00103BDB" w:rsidRPr="005A3F27" w:rsidRDefault="00103BDB" w:rsidP="009861AE">
      <w:pPr>
        <w:pStyle w:val="Heading1"/>
        <w:numPr>
          <w:ilvl w:val="0"/>
          <w:numId w:val="0"/>
        </w:numPr>
      </w:pPr>
      <w:bookmarkStart w:id="74" w:name="_Toc109127522"/>
      <w:r w:rsidRPr="005A3F27">
        <w:lastRenderedPageBreak/>
        <w:t>A</w:t>
      </w:r>
      <w:r w:rsidR="009861AE" w:rsidRPr="005A3F27">
        <w:t>nnex 2</w:t>
      </w:r>
      <w:r w:rsidRPr="005A3F27">
        <w:t xml:space="preserve">: </w:t>
      </w:r>
      <w:bookmarkStart w:id="75" w:name="_Hlk105010039"/>
      <w:r w:rsidRPr="005A3F27">
        <w:t>C</w:t>
      </w:r>
      <w:r w:rsidR="009861AE" w:rsidRPr="005A3F27">
        <w:t xml:space="preserve">limate Bond Taxonomy </w:t>
      </w:r>
      <w:r w:rsidRPr="005A3F27">
        <w:t>of key sectors</w:t>
      </w:r>
      <w:bookmarkEnd w:id="70"/>
      <w:bookmarkEnd w:id="74"/>
      <w:bookmarkEnd w:id="75"/>
    </w:p>
    <w:tbl>
      <w:tblPr>
        <w:tblStyle w:val="TableBlue"/>
        <w:tblW w:w="5000" w:type="pct"/>
        <w:tblLook w:val="01E0" w:firstRow="1" w:lastRow="1" w:firstColumn="1" w:lastColumn="1" w:noHBand="0" w:noVBand="0"/>
      </w:tblPr>
      <w:tblGrid>
        <w:gridCol w:w="1922"/>
        <w:gridCol w:w="1767"/>
        <w:gridCol w:w="3399"/>
        <w:gridCol w:w="3444"/>
        <w:gridCol w:w="2173"/>
        <w:gridCol w:w="1296"/>
      </w:tblGrid>
      <w:tr w:rsidR="00D00014" w:rsidRPr="005A3F27" w14:paraId="217D4886" w14:textId="77777777" w:rsidTr="00A358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1" w:type="pct"/>
            <w:gridSpan w:val="4"/>
          </w:tcPr>
          <w:p w14:paraId="066118D2" w14:textId="77777777" w:rsidR="00D00014" w:rsidRPr="005A3F27" w:rsidRDefault="00D00014" w:rsidP="005A3F27">
            <w:pPr>
              <w:pStyle w:val="ECoNormal"/>
              <w:spacing w:before="0" w:after="0"/>
              <w:jc w:val="left"/>
              <w:rPr>
                <w:sz w:val="20"/>
                <w:szCs w:val="20"/>
                <w:lang w:val="en-GB"/>
              </w:rPr>
            </w:pPr>
            <w:r w:rsidRPr="005A3F27">
              <w:rPr>
                <w:sz w:val="20"/>
                <w:szCs w:val="20"/>
                <w:lang w:val="en-GB"/>
              </w:rPr>
              <w:t>Climate Bonds Taxonomy</w:t>
            </w:r>
          </w:p>
        </w:tc>
        <w:tc>
          <w:tcPr>
            <w:tcW w:w="1239"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601E364" w14:textId="77777777" w:rsidR="00D00014" w:rsidRPr="005A3F27" w:rsidRDefault="00D00014" w:rsidP="005A3F27">
            <w:pPr>
              <w:pStyle w:val="ECoNormal"/>
              <w:spacing w:before="0" w:after="0"/>
              <w:jc w:val="left"/>
              <w:cnfStyle w:val="100000000000" w:firstRow="1"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Armenia</w:t>
            </w:r>
          </w:p>
        </w:tc>
      </w:tr>
      <w:tr w:rsidR="00E230C4" w:rsidRPr="005A3F27" w14:paraId="7C82A623" w14:textId="77777777" w:rsidTr="00E230C4">
        <w:tc>
          <w:tcPr>
            <w:cnfStyle w:val="001000000000" w:firstRow="0" w:lastRow="0" w:firstColumn="1" w:lastColumn="0" w:oddVBand="0" w:evenVBand="0" w:oddHBand="0" w:evenHBand="0" w:firstRowFirstColumn="0" w:firstRowLastColumn="0" w:lastRowFirstColumn="0" w:lastRowLastColumn="0"/>
            <w:tcW w:w="686" w:type="pct"/>
            <w:shd w:val="clear" w:color="auto" w:fill="D7E3E9" w:themeFill="text2" w:themeFillTint="33"/>
          </w:tcPr>
          <w:p w14:paraId="1B878F40" w14:textId="77777777" w:rsidR="00103BDB" w:rsidRPr="005A3F27" w:rsidRDefault="00103BDB" w:rsidP="009861AE">
            <w:pPr>
              <w:pStyle w:val="ECoNormal"/>
              <w:spacing w:before="0" w:after="0"/>
              <w:rPr>
                <w:sz w:val="20"/>
                <w:szCs w:val="20"/>
                <w:lang w:val="en-GB"/>
              </w:rPr>
            </w:pPr>
          </w:p>
        </w:tc>
        <w:tc>
          <w:tcPr>
            <w:tcW w:w="631" w:type="pct"/>
            <w:shd w:val="clear" w:color="auto" w:fill="D7E3E9" w:themeFill="text2" w:themeFillTint="33"/>
          </w:tcPr>
          <w:p w14:paraId="3A8F425F" w14:textId="77777777" w:rsidR="00103BDB" w:rsidRPr="005A3F27" w:rsidRDefault="00103BDB"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 xml:space="preserve">Asset type </w:t>
            </w:r>
          </w:p>
        </w:tc>
        <w:tc>
          <w:tcPr>
            <w:tcW w:w="1214" w:type="pct"/>
            <w:shd w:val="clear" w:color="auto" w:fill="D7E3E9" w:themeFill="text2" w:themeFillTint="33"/>
          </w:tcPr>
          <w:p w14:paraId="24F2123A" w14:textId="77777777" w:rsidR="00103BDB" w:rsidRPr="005A3F27" w:rsidRDefault="00103BDB"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Asset specifics</w:t>
            </w:r>
          </w:p>
        </w:tc>
        <w:tc>
          <w:tcPr>
            <w:tcW w:w="1230" w:type="pct"/>
            <w:shd w:val="clear" w:color="auto" w:fill="D7E3E9" w:themeFill="text2" w:themeFillTint="33"/>
          </w:tcPr>
          <w:p w14:paraId="75B1FB22" w14:textId="77777777" w:rsidR="00103BDB" w:rsidRPr="005A3F27" w:rsidRDefault="00103BDB"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 xml:space="preserve">Indicators </w:t>
            </w:r>
          </w:p>
        </w:tc>
        <w:tc>
          <w:tcPr>
            <w:tcW w:w="776" w:type="pct"/>
            <w:shd w:val="clear" w:color="auto" w:fill="D7E3E9" w:themeFill="text2" w:themeFillTint="33"/>
          </w:tcPr>
          <w:p w14:paraId="47FC2CCE" w14:textId="77777777" w:rsidR="00103BDB" w:rsidRPr="005A3F27" w:rsidRDefault="00103BDB"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Sector focus</w:t>
            </w:r>
          </w:p>
        </w:tc>
        <w:tc>
          <w:tcPr>
            <w:tcW w:w="463" w:type="pct"/>
            <w:shd w:val="clear" w:color="auto" w:fill="D7E3E9" w:themeFill="text2" w:themeFillTint="33"/>
          </w:tcPr>
          <w:p w14:paraId="304FB294" w14:textId="77777777" w:rsidR="00103BDB" w:rsidRPr="005A3F27" w:rsidRDefault="00103BDB"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Description</w:t>
            </w:r>
          </w:p>
        </w:tc>
      </w:tr>
      <w:tr w:rsidR="00D00014" w:rsidRPr="005A3F27" w14:paraId="6BD5488B" w14:textId="77777777" w:rsidTr="00E230C4">
        <w:tc>
          <w:tcPr>
            <w:cnfStyle w:val="001000000000" w:firstRow="0" w:lastRow="0" w:firstColumn="1" w:lastColumn="0" w:oddVBand="0" w:evenVBand="0" w:oddHBand="0" w:evenHBand="0" w:firstRowFirstColumn="0" w:firstRowLastColumn="0" w:lastRowFirstColumn="0" w:lastRowLastColumn="0"/>
            <w:tcW w:w="686" w:type="pct"/>
            <w:vMerge w:val="restart"/>
          </w:tcPr>
          <w:p w14:paraId="3B2C8CC5" w14:textId="77777777" w:rsidR="00E230C4" w:rsidRPr="005A3F27" w:rsidRDefault="00E230C4" w:rsidP="009861AE">
            <w:pPr>
              <w:pStyle w:val="ECoNormal"/>
              <w:spacing w:before="0" w:after="0"/>
              <w:rPr>
                <w:sz w:val="20"/>
                <w:szCs w:val="20"/>
                <w:lang w:val="en-GB"/>
              </w:rPr>
            </w:pPr>
            <w:r w:rsidRPr="005A3F27">
              <w:rPr>
                <w:sz w:val="20"/>
                <w:szCs w:val="20"/>
                <w:lang w:val="en-GB"/>
              </w:rPr>
              <w:t>Solar</w:t>
            </w:r>
          </w:p>
        </w:tc>
        <w:tc>
          <w:tcPr>
            <w:tcW w:w="631" w:type="pct"/>
            <w:vMerge w:val="restart"/>
          </w:tcPr>
          <w:p w14:paraId="37212561"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Generation facilities (power &amp; heat)</w:t>
            </w:r>
          </w:p>
        </w:tc>
        <w:tc>
          <w:tcPr>
            <w:tcW w:w="1214" w:type="pct"/>
          </w:tcPr>
          <w:p w14:paraId="0DA3BC7A"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Photovoltaic generation facilities (onshore)</w:t>
            </w:r>
          </w:p>
        </w:tc>
        <w:tc>
          <w:tcPr>
            <w:tcW w:w="1230" w:type="pct"/>
            <w:vMerge w:val="restart"/>
          </w:tcPr>
          <w:p w14:paraId="5D825DAC"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Facilities shall have no more than 15% of electricity generated from non- renewable sources</w:t>
            </w:r>
          </w:p>
        </w:tc>
        <w:tc>
          <w:tcPr>
            <w:tcW w:w="776" w:type="pct"/>
            <w:vMerge w:val="restart"/>
          </w:tcPr>
          <w:p w14:paraId="71FF7DDD" w14:textId="6AE69E95"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Renewable energy projects</w:t>
            </w:r>
          </w:p>
        </w:tc>
        <w:tc>
          <w:tcPr>
            <w:tcW w:w="463" w:type="pct"/>
            <w:vMerge w:val="restart"/>
          </w:tcPr>
          <w:p w14:paraId="3744F770" w14:textId="2E07243E"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en-GB"/>
              </w:rPr>
              <w:t>To be confirmed</w:t>
            </w:r>
          </w:p>
        </w:tc>
      </w:tr>
      <w:tr w:rsidR="00D00014" w:rsidRPr="005A3F27" w14:paraId="47A290FA"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704CF9EC" w14:textId="77777777" w:rsidR="00E230C4" w:rsidRPr="005A3F27" w:rsidRDefault="00E230C4" w:rsidP="009861AE">
            <w:pPr>
              <w:pStyle w:val="ECoNormal"/>
              <w:spacing w:before="0" w:after="0"/>
              <w:rPr>
                <w:sz w:val="20"/>
                <w:szCs w:val="20"/>
                <w:lang w:val="en-GB"/>
              </w:rPr>
            </w:pPr>
          </w:p>
        </w:tc>
        <w:tc>
          <w:tcPr>
            <w:tcW w:w="631" w:type="pct"/>
            <w:vMerge/>
          </w:tcPr>
          <w:p w14:paraId="541CD5A2"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1214" w:type="pct"/>
          </w:tcPr>
          <w:p w14:paraId="713C8E47"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Concentrated solar power facilities (onshore)</w:t>
            </w:r>
          </w:p>
        </w:tc>
        <w:tc>
          <w:tcPr>
            <w:tcW w:w="1230" w:type="pct"/>
            <w:vMerge/>
          </w:tcPr>
          <w:p w14:paraId="3B2B1F3F"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776" w:type="pct"/>
            <w:vMerge/>
          </w:tcPr>
          <w:p w14:paraId="005A8BA2"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63" w:type="pct"/>
            <w:vMerge/>
          </w:tcPr>
          <w:p w14:paraId="2CAB6DDD"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D00014" w:rsidRPr="005A3F27" w14:paraId="4E7FB8D7"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42A098F1" w14:textId="77777777" w:rsidR="00E230C4" w:rsidRPr="005A3F27" w:rsidRDefault="00E230C4" w:rsidP="009861AE">
            <w:pPr>
              <w:pStyle w:val="ECoNormal"/>
              <w:spacing w:before="0" w:after="0"/>
              <w:rPr>
                <w:sz w:val="20"/>
                <w:szCs w:val="20"/>
                <w:lang w:val="en-GB"/>
              </w:rPr>
            </w:pPr>
          </w:p>
        </w:tc>
        <w:tc>
          <w:tcPr>
            <w:tcW w:w="631" w:type="pct"/>
            <w:vMerge w:val="restart"/>
          </w:tcPr>
          <w:p w14:paraId="26183264"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Supply chain facilities</w:t>
            </w:r>
          </w:p>
        </w:tc>
        <w:tc>
          <w:tcPr>
            <w:tcW w:w="1214" w:type="pct"/>
          </w:tcPr>
          <w:p w14:paraId="0951DBD5" w14:textId="2C5E9FE2"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Manufacturing facilities wholly dedicated to onshore solar energy development such as PV cells &amp; components, CSP dishes, troughs &amp; components etc.</w:t>
            </w:r>
          </w:p>
        </w:tc>
        <w:tc>
          <w:tcPr>
            <w:tcW w:w="1230" w:type="pct"/>
            <w:vMerge/>
          </w:tcPr>
          <w:p w14:paraId="246B2205"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776" w:type="pct"/>
            <w:vMerge/>
          </w:tcPr>
          <w:p w14:paraId="3D04D0AA"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63" w:type="pct"/>
            <w:vMerge/>
          </w:tcPr>
          <w:p w14:paraId="7CC5E218"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D00014" w:rsidRPr="005A3F27" w14:paraId="14A08C01"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14E2EF58" w14:textId="77777777" w:rsidR="00E230C4" w:rsidRPr="005A3F27" w:rsidRDefault="00E230C4" w:rsidP="009861AE">
            <w:pPr>
              <w:pStyle w:val="ECoNormal"/>
              <w:spacing w:before="0" w:after="0"/>
              <w:rPr>
                <w:sz w:val="20"/>
                <w:szCs w:val="20"/>
                <w:lang w:val="en-GB"/>
              </w:rPr>
            </w:pPr>
          </w:p>
        </w:tc>
        <w:tc>
          <w:tcPr>
            <w:tcW w:w="631" w:type="pct"/>
            <w:vMerge/>
          </w:tcPr>
          <w:p w14:paraId="6104B146"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1214" w:type="pct"/>
          </w:tcPr>
          <w:p w14:paraId="0C11AE03"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Dedicated storage, distribution, installation, wholesale and retail</w:t>
            </w:r>
          </w:p>
        </w:tc>
        <w:tc>
          <w:tcPr>
            <w:tcW w:w="1230" w:type="pct"/>
            <w:vMerge/>
          </w:tcPr>
          <w:p w14:paraId="1D4D6BEE"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776" w:type="pct"/>
            <w:vMerge/>
          </w:tcPr>
          <w:p w14:paraId="3E323DD6"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63" w:type="pct"/>
            <w:vMerge/>
          </w:tcPr>
          <w:p w14:paraId="287B134F"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D00014" w:rsidRPr="005A3F27" w14:paraId="581302F0"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6E27AEB8" w14:textId="77777777" w:rsidR="00E230C4" w:rsidRPr="005A3F27" w:rsidRDefault="00E230C4" w:rsidP="009861AE">
            <w:pPr>
              <w:pStyle w:val="ECoNormal"/>
              <w:spacing w:before="0" w:after="0"/>
              <w:rPr>
                <w:sz w:val="20"/>
                <w:szCs w:val="20"/>
                <w:lang w:val="en-GB"/>
              </w:rPr>
            </w:pPr>
          </w:p>
        </w:tc>
        <w:tc>
          <w:tcPr>
            <w:tcW w:w="631" w:type="pct"/>
            <w:vMerge w:val="restart"/>
          </w:tcPr>
          <w:p w14:paraId="0366B711"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Infrastructure</w:t>
            </w:r>
          </w:p>
        </w:tc>
        <w:tc>
          <w:tcPr>
            <w:tcW w:w="1214" w:type="pct"/>
          </w:tcPr>
          <w:p w14:paraId="1689C226"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Dedicated transmission infrastructure</w:t>
            </w:r>
          </w:p>
        </w:tc>
        <w:tc>
          <w:tcPr>
            <w:tcW w:w="1230" w:type="pct"/>
            <w:vMerge/>
          </w:tcPr>
          <w:p w14:paraId="3DE9DD68"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776" w:type="pct"/>
            <w:vMerge/>
          </w:tcPr>
          <w:p w14:paraId="4FDFC210"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63" w:type="pct"/>
            <w:vMerge/>
          </w:tcPr>
          <w:p w14:paraId="5624AD23"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D00014" w:rsidRPr="005A3F27" w14:paraId="7DE13D73"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6C648840" w14:textId="77777777" w:rsidR="00E230C4" w:rsidRPr="005A3F27" w:rsidRDefault="00E230C4" w:rsidP="009861AE">
            <w:pPr>
              <w:pStyle w:val="ECoNormal"/>
              <w:spacing w:before="0" w:after="0"/>
              <w:rPr>
                <w:sz w:val="20"/>
                <w:szCs w:val="20"/>
                <w:lang w:val="en-GB"/>
              </w:rPr>
            </w:pPr>
          </w:p>
        </w:tc>
        <w:tc>
          <w:tcPr>
            <w:tcW w:w="631" w:type="pct"/>
            <w:vMerge/>
          </w:tcPr>
          <w:p w14:paraId="67CC01FF"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1214" w:type="pct"/>
          </w:tcPr>
          <w:p w14:paraId="1875927E"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Dedicated supporting infrastructure including inverters, transformers, energy storage systems and control systems</w:t>
            </w:r>
          </w:p>
        </w:tc>
        <w:tc>
          <w:tcPr>
            <w:tcW w:w="1230" w:type="pct"/>
            <w:vMerge/>
          </w:tcPr>
          <w:p w14:paraId="7181B31A"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776" w:type="pct"/>
            <w:vMerge/>
          </w:tcPr>
          <w:p w14:paraId="17C0E9A7"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63" w:type="pct"/>
            <w:vMerge/>
          </w:tcPr>
          <w:p w14:paraId="5ED07339"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D00014" w:rsidRPr="005A3F27" w14:paraId="666A1069" w14:textId="77777777" w:rsidTr="00E230C4">
        <w:tc>
          <w:tcPr>
            <w:cnfStyle w:val="001000000000" w:firstRow="0" w:lastRow="0" w:firstColumn="1" w:lastColumn="0" w:oddVBand="0" w:evenVBand="0" w:oddHBand="0" w:evenHBand="0" w:firstRowFirstColumn="0" w:firstRowLastColumn="0" w:lastRowFirstColumn="0" w:lastRowLastColumn="0"/>
            <w:tcW w:w="686" w:type="pct"/>
            <w:vMerge w:val="restart"/>
          </w:tcPr>
          <w:p w14:paraId="44FF6C9F" w14:textId="77777777" w:rsidR="00E230C4" w:rsidRPr="005A3F27" w:rsidRDefault="00E230C4" w:rsidP="009861AE">
            <w:pPr>
              <w:pStyle w:val="ECoNormal"/>
              <w:spacing w:before="0" w:after="0"/>
              <w:rPr>
                <w:sz w:val="20"/>
                <w:szCs w:val="20"/>
                <w:lang w:val="en-GB"/>
              </w:rPr>
            </w:pPr>
            <w:r w:rsidRPr="005A3F27">
              <w:rPr>
                <w:sz w:val="20"/>
                <w:szCs w:val="20"/>
                <w:lang w:val="en-GB"/>
              </w:rPr>
              <w:t>Hydro power</w:t>
            </w:r>
          </w:p>
        </w:tc>
        <w:tc>
          <w:tcPr>
            <w:tcW w:w="631" w:type="pct"/>
            <w:vMerge w:val="restart"/>
          </w:tcPr>
          <w:p w14:paraId="15F6F5BE"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Generation facilities</w:t>
            </w:r>
          </w:p>
        </w:tc>
        <w:tc>
          <w:tcPr>
            <w:tcW w:w="1214" w:type="pct"/>
          </w:tcPr>
          <w:p w14:paraId="3E3E35AB"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Run of river</w:t>
            </w:r>
          </w:p>
        </w:tc>
        <w:tc>
          <w:tcPr>
            <w:tcW w:w="1230" w:type="pct"/>
            <w:vMerge w:val="restart"/>
          </w:tcPr>
          <w:p w14:paraId="739DAB13"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Proposed: power density</w:t>
            </w:r>
          </w:p>
          <w:p w14:paraId="02B8DC76" w14:textId="2E157C32"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 xml:space="preserve">&gt; 5W/m2; or emissions of electricity generated &lt; </w:t>
            </w:r>
            <w:r w:rsidR="005F33F3">
              <w:rPr>
                <w:sz w:val="20"/>
                <w:szCs w:val="20"/>
                <w:lang w:val="en-GB"/>
              </w:rPr>
              <w:t>5</w:t>
            </w:r>
            <w:r w:rsidR="005F33F3" w:rsidRPr="005A3F27">
              <w:rPr>
                <w:sz w:val="20"/>
                <w:szCs w:val="20"/>
                <w:lang w:val="en-GB"/>
              </w:rPr>
              <w:t>0</w:t>
            </w:r>
            <w:r w:rsidR="005F33F3">
              <w:rPr>
                <w:sz w:val="20"/>
                <w:szCs w:val="20"/>
                <w:lang w:val="en-GB"/>
              </w:rPr>
              <w:t xml:space="preserve"> </w:t>
            </w:r>
            <w:r w:rsidRPr="005A3F27">
              <w:rPr>
                <w:sz w:val="20"/>
                <w:szCs w:val="20"/>
                <w:lang w:val="en-GB"/>
              </w:rPr>
              <w:t>gCO2e/kWh</w:t>
            </w:r>
          </w:p>
          <w:p w14:paraId="08EE455B"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p w14:paraId="37E7672A"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AND</w:t>
            </w:r>
          </w:p>
          <w:p w14:paraId="436D7C15"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p w14:paraId="5A3E0745"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lastRenderedPageBreak/>
              <w:t>Must perform an assessment, based on recognised best practice guidelines, of environmental and social risks and incorporate measures to address risks</w:t>
            </w:r>
          </w:p>
          <w:p w14:paraId="18A9D383"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Only for pumped storage: facility will not be charged with carbon intensive energy OR facility is contributing</w:t>
            </w:r>
          </w:p>
          <w:p w14:paraId="4623FC37"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to a grid which has at least 20% share of intermittent renewables</w:t>
            </w:r>
          </w:p>
        </w:tc>
        <w:tc>
          <w:tcPr>
            <w:tcW w:w="776" w:type="pct"/>
            <w:vMerge w:val="restart"/>
          </w:tcPr>
          <w:p w14:paraId="6D8FA996"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lastRenderedPageBreak/>
              <w:t>Renewable energy projects</w:t>
            </w:r>
          </w:p>
        </w:tc>
        <w:tc>
          <w:tcPr>
            <w:tcW w:w="463" w:type="pct"/>
            <w:vMerge w:val="restart"/>
          </w:tcPr>
          <w:p w14:paraId="3B69D701" w14:textId="3696630C"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en-GB"/>
              </w:rPr>
              <w:t>To be confirmed</w:t>
            </w:r>
          </w:p>
        </w:tc>
      </w:tr>
      <w:tr w:rsidR="00D00014" w:rsidRPr="005A3F27" w14:paraId="34382FBF"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0E047E30" w14:textId="77777777" w:rsidR="00E230C4" w:rsidRPr="005A3F27" w:rsidRDefault="00E230C4" w:rsidP="009861AE">
            <w:pPr>
              <w:pStyle w:val="ECoNormal"/>
              <w:spacing w:before="0" w:after="0"/>
              <w:rPr>
                <w:sz w:val="20"/>
                <w:szCs w:val="20"/>
                <w:lang w:val="en-GB"/>
              </w:rPr>
            </w:pPr>
          </w:p>
        </w:tc>
        <w:tc>
          <w:tcPr>
            <w:tcW w:w="631" w:type="pct"/>
            <w:vMerge/>
          </w:tcPr>
          <w:p w14:paraId="5D69BC72"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color w:val="231F20"/>
                <w:w w:val="95"/>
                <w:sz w:val="20"/>
                <w:szCs w:val="20"/>
                <w:lang w:val="en-GB"/>
              </w:rPr>
            </w:pPr>
          </w:p>
        </w:tc>
        <w:tc>
          <w:tcPr>
            <w:tcW w:w="1214" w:type="pct"/>
          </w:tcPr>
          <w:p w14:paraId="3C6F466B"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Impoundment</w:t>
            </w:r>
          </w:p>
        </w:tc>
        <w:tc>
          <w:tcPr>
            <w:tcW w:w="1230" w:type="pct"/>
            <w:vMerge/>
          </w:tcPr>
          <w:p w14:paraId="13ED4B05"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776" w:type="pct"/>
            <w:vMerge/>
          </w:tcPr>
          <w:p w14:paraId="1163B19F"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63" w:type="pct"/>
            <w:vMerge/>
          </w:tcPr>
          <w:p w14:paraId="38A1DA15"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D00014" w:rsidRPr="005A3F27" w14:paraId="2F6A9AE4"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6A8C7D3D" w14:textId="77777777" w:rsidR="00E230C4" w:rsidRPr="005A3F27" w:rsidRDefault="00E230C4" w:rsidP="009861AE">
            <w:pPr>
              <w:pStyle w:val="ECoNormal"/>
              <w:spacing w:before="0" w:after="0"/>
              <w:rPr>
                <w:sz w:val="20"/>
                <w:szCs w:val="20"/>
                <w:lang w:val="en-GB"/>
              </w:rPr>
            </w:pPr>
          </w:p>
        </w:tc>
        <w:tc>
          <w:tcPr>
            <w:tcW w:w="631" w:type="pct"/>
            <w:vMerge/>
          </w:tcPr>
          <w:p w14:paraId="2AAD789C"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color w:val="231F20"/>
                <w:w w:val="95"/>
                <w:sz w:val="20"/>
                <w:szCs w:val="20"/>
                <w:lang w:val="en-GB"/>
              </w:rPr>
            </w:pPr>
          </w:p>
        </w:tc>
        <w:tc>
          <w:tcPr>
            <w:tcW w:w="1214" w:type="pct"/>
          </w:tcPr>
          <w:p w14:paraId="5BF8BE47"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Pumped storage</w:t>
            </w:r>
          </w:p>
        </w:tc>
        <w:tc>
          <w:tcPr>
            <w:tcW w:w="1230" w:type="pct"/>
            <w:vMerge/>
          </w:tcPr>
          <w:p w14:paraId="70A8A02D"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776" w:type="pct"/>
            <w:vMerge/>
          </w:tcPr>
          <w:p w14:paraId="1015DE41"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63" w:type="pct"/>
            <w:vMerge/>
          </w:tcPr>
          <w:p w14:paraId="31FC197D"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D00014" w:rsidRPr="005A3F27" w14:paraId="6CAC6B6B"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27C4E56F" w14:textId="77777777" w:rsidR="00E230C4" w:rsidRPr="005A3F27" w:rsidRDefault="00E230C4" w:rsidP="009861AE">
            <w:pPr>
              <w:pStyle w:val="ECoNormal"/>
              <w:spacing w:before="0" w:after="0"/>
              <w:rPr>
                <w:sz w:val="20"/>
                <w:szCs w:val="20"/>
                <w:lang w:val="en-GB"/>
              </w:rPr>
            </w:pPr>
          </w:p>
        </w:tc>
        <w:tc>
          <w:tcPr>
            <w:tcW w:w="631" w:type="pct"/>
            <w:vMerge w:val="restart"/>
          </w:tcPr>
          <w:p w14:paraId="47A2AD8A"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Supply chain facilities</w:t>
            </w:r>
          </w:p>
        </w:tc>
        <w:tc>
          <w:tcPr>
            <w:tcW w:w="1214" w:type="pct"/>
          </w:tcPr>
          <w:p w14:paraId="46E85548" w14:textId="51F091A0"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Manufacturing facilities wholly dedicated to hydropower development such as hydro turbines and components</w:t>
            </w:r>
          </w:p>
        </w:tc>
        <w:tc>
          <w:tcPr>
            <w:tcW w:w="1230" w:type="pct"/>
            <w:vMerge/>
          </w:tcPr>
          <w:p w14:paraId="5A1C964D"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776" w:type="pct"/>
            <w:vMerge/>
          </w:tcPr>
          <w:p w14:paraId="15BEFE70"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63" w:type="pct"/>
            <w:vMerge/>
          </w:tcPr>
          <w:p w14:paraId="5B33C8D5"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D00014" w:rsidRPr="005A3F27" w14:paraId="16D866BF"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2DA1D21F" w14:textId="77777777" w:rsidR="00E230C4" w:rsidRPr="005A3F27" w:rsidRDefault="00E230C4" w:rsidP="009861AE">
            <w:pPr>
              <w:pStyle w:val="ECoNormal"/>
              <w:spacing w:before="0" w:after="0"/>
              <w:rPr>
                <w:sz w:val="20"/>
                <w:szCs w:val="20"/>
                <w:lang w:val="en-GB"/>
              </w:rPr>
            </w:pPr>
          </w:p>
        </w:tc>
        <w:tc>
          <w:tcPr>
            <w:tcW w:w="631" w:type="pct"/>
            <w:vMerge/>
          </w:tcPr>
          <w:p w14:paraId="3406B89E"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1214" w:type="pct"/>
          </w:tcPr>
          <w:p w14:paraId="00E55893"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Dedicated storage, distribution, installation and wholesale and retail</w:t>
            </w:r>
          </w:p>
        </w:tc>
        <w:tc>
          <w:tcPr>
            <w:tcW w:w="1230" w:type="pct"/>
            <w:vMerge/>
          </w:tcPr>
          <w:p w14:paraId="7983A457"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776" w:type="pct"/>
            <w:vMerge/>
          </w:tcPr>
          <w:p w14:paraId="4A448C80"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63" w:type="pct"/>
            <w:vMerge/>
          </w:tcPr>
          <w:p w14:paraId="42CEE949"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D00014" w:rsidRPr="005A3F27" w14:paraId="360405F2"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06EA5CF8" w14:textId="77777777" w:rsidR="00E230C4" w:rsidRPr="005A3F27" w:rsidRDefault="00E230C4" w:rsidP="009861AE">
            <w:pPr>
              <w:pStyle w:val="ECoNormal"/>
              <w:spacing w:before="0" w:after="0"/>
              <w:rPr>
                <w:sz w:val="20"/>
                <w:szCs w:val="20"/>
                <w:lang w:val="en-GB"/>
              </w:rPr>
            </w:pPr>
          </w:p>
        </w:tc>
        <w:tc>
          <w:tcPr>
            <w:tcW w:w="631" w:type="pct"/>
            <w:vMerge w:val="restart"/>
          </w:tcPr>
          <w:p w14:paraId="67FD56AE"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Infrastructure</w:t>
            </w:r>
          </w:p>
        </w:tc>
        <w:tc>
          <w:tcPr>
            <w:tcW w:w="1214" w:type="pct"/>
          </w:tcPr>
          <w:p w14:paraId="7CF34113"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Dedicated transmission infrastructure</w:t>
            </w:r>
          </w:p>
        </w:tc>
        <w:tc>
          <w:tcPr>
            <w:tcW w:w="1230" w:type="pct"/>
            <w:vMerge/>
          </w:tcPr>
          <w:p w14:paraId="1B147D60"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776" w:type="pct"/>
            <w:vMerge/>
          </w:tcPr>
          <w:p w14:paraId="7C1A8EEF"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63" w:type="pct"/>
            <w:vMerge/>
          </w:tcPr>
          <w:p w14:paraId="21EA5678"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D00014" w:rsidRPr="005A3F27" w14:paraId="3005DA3F"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5364F246" w14:textId="77777777" w:rsidR="00E230C4" w:rsidRPr="005A3F27" w:rsidRDefault="00E230C4" w:rsidP="009861AE">
            <w:pPr>
              <w:pStyle w:val="ECoNormal"/>
              <w:spacing w:before="0" w:after="0"/>
              <w:rPr>
                <w:sz w:val="20"/>
                <w:szCs w:val="20"/>
                <w:lang w:val="en-GB"/>
              </w:rPr>
            </w:pPr>
          </w:p>
        </w:tc>
        <w:tc>
          <w:tcPr>
            <w:tcW w:w="631" w:type="pct"/>
            <w:vMerge/>
          </w:tcPr>
          <w:p w14:paraId="62AF4DB4"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color w:val="231F20"/>
                <w:sz w:val="20"/>
                <w:szCs w:val="20"/>
                <w:lang w:val="en-GB"/>
              </w:rPr>
            </w:pPr>
          </w:p>
        </w:tc>
        <w:tc>
          <w:tcPr>
            <w:tcW w:w="1214" w:type="pct"/>
          </w:tcPr>
          <w:p w14:paraId="7A44F044"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Dedicated supporting infrastructure</w:t>
            </w:r>
          </w:p>
        </w:tc>
        <w:tc>
          <w:tcPr>
            <w:tcW w:w="1230" w:type="pct"/>
            <w:vMerge/>
          </w:tcPr>
          <w:p w14:paraId="41C266E6"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776" w:type="pct"/>
            <w:vMerge/>
          </w:tcPr>
          <w:p w14:paraId="59F26BAE"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63" w:type="pct"/>
            <w:vMerge/>
          </w:tcPr>
          <w:p w14:paraId="4419E227"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E230C4" w:rsidRPr="005A3F27" w14:paraId="14753296" w14:textId="77777777" w:rsidTr="00E230C4">
        <w:tc>
          <w:tcPr>
            <w:cnfStyle w:val="001000000000" w:firstRow="0" w:lastRow="0" w:firstColumn="1" w:lastColumn="0" w:oddVBand="0" w:evenVBand="0" w:oddHBand="0" w:evenHBand="0" w:firstRowFirstColumn="0" w:firstRowLastColumn="0" w:lastRowFirstColumn="0" w:lastRowLastColumn="0"/>
            <w:tcW w:w="686" w:type="pct"/>
            <w:vMerge w:val="restart"/>
          </w:tcPr>
          <w:p w14:paraId="6B9261D3" w14:textId="77777777" w:rsidR="00E230C4" w:rsidRPr="005A3F27" w:rsidRDefault="00E230C4" w:rsidP="009861AE">
            <w:pPr>
              <w:pStyle w:val="ECoNormal"/>
              <w:spacing w:before="0" w:after="0"/>
              <w:rPr>
                <w:sz w:val="20"/>
                <w:szCs w:val="20"/>
                <w:lang w:val="en-GB"/>
              </w:rPr>
            </w:pPr>
            <w:r w:rsidRPr="005A3F27">
              <w:rPr>
                <w:sz w:val="20"/>
                <w:szCs w:val="20"/>
                <w:lang w:val="en-GB"/>
              </w:rPr>
              <w:t xml:space="preserve">Private vehicle cars </w:t>
            </w:r>
          </w:p>
        </w:tc>
        <w:tc>
          <w:tcPr>
            <w:tcW w:w="631" w:type="pct"/>
            <w:vMerge w:val="restart"/>
          </w:tcPr>
          <w:p w14:paraId="69BFCBAB"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Vehicles</w:t>
            </w:r>
          </w:p>
        </w:tc>
        <w:tc>
          <w:tcPr>
            <w:tcW w:w="1214" w:type="pct"/>
          </w:tcPr>
          <w:p w14:paraId="7DF54E3C"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Electric passenger &amp; freight vehicles</w:t>
            </w:r>
          </w:p>
        </w:tc>
        <w:tc>
          <w:tcPr>
            <w:tcW w:w="1230" w:type="pct"/>
            <w:vMerge w:val="restart"/>
          </w:tcPr>
          <w:p w14:paraId="46C7624F"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Vehicle meets universal gCO2/p-km (passenger per kilometre) threshold</w:t>
            </w:r>
          </w:p>
        </w:tc>
        <w:tc>
          <w:tcPr>
            <w:tcW w:w="776" w:type="pct"/>
            <w:vMerge w:val="restart"/>
          </w:tcPr>
          <w:p w14:paraId="6A135D1E" w14:textId="433BF37B"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Electric vehicles</w:t>
            </w:r>
            <w:r>
              <w:rPr>
                <w:sz w:val="20"/>
                <w:szCs w:val="20"/>
                <w:lang w:val="en-GB"/>
              </w:rPr>
              <w:t xml:space="preserve"> and charging infrastructure</w:t>
            </w:r>
          </w:p>
          <w:p w14:paraId="03E841BC"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63" w:type="pct"/>
            <w:vMerge w:val="restart"/>
          </w:tcPr>
          <w:p w14:paraId="002E8A1D" w14:textId="205A5660"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en-GB"/>
              </w:rPr>
              <w:t>To be confirmed</w:t>
            </w:r>
          </w:p>
        </w:tc>
      </w:tr>
      <w:tr w:rsidR="00E230C4" w:rsidRPr="005A3F27" w14:paraId="52DDBF7B"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6F2252DF" w14:textId="77777777" w:rsidR="00E230C4" w:rsidRPr="005A3F27" w:rsidRDefault="00E230C4" w:rsidP="009861AE">
            <w:pPr>
              <w:pStyle w:val="ECoNormal"/>
              <w:spacing w:before="0" w:after="0"/>
              <w:rPr>
                <w:sz w:val="20"/>
                <w:szCs w:val="20"/>
                <w:lang w:val="en-GB"/>
              </w:rPr>
            </w:pPr>
          </w:p>
        </w:tc>
        <w:tc>
          <w:tcPr>
            <w:tcW w:w="631" w:type="pct"/>
            <w:vMerge/>
          </w:tcPr>
          <w:p w14:paraId="12D22DEE"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color w:val="231F20"/>
                <w:sz w:val="20"/>
                <w:szCs w:val="20"/>
                <w:lang w:val="en-GB"/>
              </w:rPr>
            </w:pPr>
          </w:p>
        </w:tc>
        <w:tc>
          <w:tcPr>
            <w:tcW w:w="1214" w:type="pct"/>
          </w:tcPr>
          <w:p w14:paraId="2438C553"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Hydrogen passenger &amp; freight vehicles</w:t>
            </w:r>
          </w:p>
        </w:tc>
        <w:tc>
          <w:tcPr>
            <w:tcW w:w="1230" w:type="pct"/>
            <w:vMerge/>
          </w:tcPr>
          <w:p w14:paraId="30F6CE08"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776" w:type="pct"/>
            <w:vMerge/>
          </w:tcPr>
          <w:p w14:paraId="074ACA53"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63" w:type="pct"/>
            <w:vMerge/>
          </w:tcPr>
          <w:p w14:paraId="5B407538"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E230C4" w:rsidRPr="005A3F27" w14:paraId="5EE4D0C5"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2007BF3B" w14:textId="77777777" w:rsidR="00E230C4" w:rsidRPr="005A3F27" w:rsidRDefault="00E230C4" w:rsidP="009861AE">
            <w:pPr>
              <w:pStyle w:val="ECoNormal"/>
              <w:spacing w:before="0" w:after="0"/>
              <w:rPr>
                <w:sz w:val="20"/>
                <w:szCs w:val="20"/>
                <w:lang w:val="en-GB"/>
              </w:rPr>
            </w:pPr>
          </w:p>
        </w:tc>
        <w:tc>
          <w:tcPr>
            <w:tcW w:w="631" w:type="pct"/>
            <w:vMerge/>
          </w:tcPr>
          <w:p w14:paraId="64400356"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color w:val="231F20"/>
                <w:sz w:val="20"/>
                <w:szCs w:val="20"/>
                <w:lang w:val="en-GB"/>
              </w:rPr>
            </w:pPr>
          </w:p>
        </w:tc>
        <w:tc>
          <w:tcPr>
            <w:tcW w:w="1214" w:type="pct"/>
          </w:tcPr>
          <w:p w14:paraId="06CCF055"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Other passenger vehicles, e.g. hybrid vehicles</w:t>
            </w:r>
          </w:p>
        </w:tc>
        <w:tc>
          <w:tcPr>
            <w:tcW w:w="1230" w:type="pct"/>
            <w:vMerge/>
          </w:tcPr>
          <w:p w14:paraId="7F2CAA8B"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776" w:type="pct"/>
            <w:vMerge/>
          </w:tcPr>
          <w:p w14:paraId="6F978324"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63" w:type="pct"/>
            <w:vMerge/>
          </w:tcPr>
          <w:p w14:paraId="228EE49B"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E230C4" w:rsidRPr="005A3F27" w14:paraId="74403283"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0B29F3D4" w14:textId="77777777" w:rsidR="00E230C4" w:rsidRPr="005A3F27" w:rsidRDefault="00E230C4" w:rsidP="009861AE">
            <w:pPr>
              <w:pStyle w:val="ECoNormal"/>
              <w:spacing w:before="0" w:after="0"/>
              <w:rPr>
                <w:sz w:val="20"/>
                <w:szCs w:val="20"/>
                <w:lang w:val="en-GB"/>
              </w:rPr>
            </w:pPr>
          </w:p>
        </w:tc>
        <w:tc>
          <w:tcPr>
            <w:tcW w:w="631" w:type="pct"/>
          </w:tcPr>
          <w:p w14:paraId="637BD2D2"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Supply chain facilities</w:t>
            </w:r>
          </w:p>
        </w:tc>
        <w:tc>
          <w:tcPr>
            <w:tcW w:w="1214" w:type="pct"/>
          </w:tcPr>
          <w:p w14:paraId="2053B515"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Dedicated manufacturing facilities for vehicles and key components, such as batteries, being used in eligible vehicles</w:t>
            </w:r>
          </w:p>
        </w:tc>
        <w:tc>
          <w:tcPr>
            <w:tcW w:w="1230" w:type="pct"/>
            <w:vMerge/>
          </w:tcPr>
          <w:p w14:paraId="4656A498"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776" w:type="pct"/>
            <w:vMerge/>
          </w:tcPr>
          <w:p w14:paraId="04F53D61"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63" w:type="pct"/>
            <w:vMerge/>
          </w:tcPr>
          <w:p w14:paraId="4F4063C4"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E230C4" w:rsidRPr="005A3F27" w14:paraId="6FF310C0"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5DDEC366" w14:textId="77777777" w:rsidR="00E230C4" w:rsidRPr="005A3F27" w:rsidRDefault="00E230C4" w:rsidP="009861AE">
            <w:pPr>
              <w:pStyle w:val="ECoNormal"/>
              <w:spacing w:before="0" w:after="0"/>
              <w:rPr>
                <w:sz w:val="20"/>
                <w:szCs w:val="20"/>
                <w:lang w:val="en-GB"/>
              </w:rPr>
            </w:pPr>
          </w:p>
        </w:tc>
        <w:tc>
          <w:tcPr>
            <w:tcW w:w="631" w:type="pct"/>
            <w:vMerge w:val="restart"/>
          </w:tcPr>
          <w:p w14:paraId="45FB0AFA"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Infrastructure</w:t>
            </w:r>
          </w:p>
        </w:tc>
        <w:tc>
          <w:tcPr>
            <w:tcW w:w="1214" w:type="pct"/>
          </w:tcPr>
          <w:p w14:paraId="4AE0FA60"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Dedicated charging and alternative fuel infrastructure (when separate from fossil fuel filling stations and garages)</w:t>
            </w:r>
          </w:p>
        </w:tc>
        <w:tc>
          <w:tcPr>
            <w:tcW w:w="1230" w:type="pct"/>
            <w:vMerge/>
          </w:tcPr>
          <w:p w14:paraId="33F221BF"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776" w:type="pct"/>
            <w:vMerge/>
          </w:tcPr>
          <w:p w14:paraId="6B05734D"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63" w:type="pct"/>
            <w:vMerge/>
          </w:tcPr>
          <w:p w14:paraId="4B2545C9"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E230C4" w:rsidRPr="005A3F27" w14:paraId="43F22B99"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5AD682B2" w14:textId="77777777" w:rsidR="00E230C4" w:rsidRPr="005A3F27" w:rsidRDefault="00E230C4" w:rsidP="009861AE">
            <w:pPr>
              <w:pStyle w:val="ECoNormal"/>
              <w:spacing w:before="0" w:after="0"/>
              <w:rPr>
                <w:sz w:val="20"/>
                <w:szCs w:val="20"/>
                <w:lang w:val="en-GB"/>
              </w:rPr>
            </w:pPr>
          </w:p>
        </w:tc>
        <w:tc>
          <w:tcPr>
            <w:tcW w:w="631" w:type="pct"/>
            <w:vMerge/>
          </w:tcPr>
          <w:p w14:paraId="7260C4B2"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1214" w:type="pct"/>
          </w:tcPr>
          <w:p w14:paraId="0566DF4C"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New roads, road bridges, road upgrades, parking facilities, fossil fuel filling stations, etc</w:t>
            </w:r>
          </w:p>
        </w:tc>
        <w:tc>
          <w:tcPr>
            <w:tcW w:w="1230" w:type="pct"/>
            <w:vMerge/>
          </w:tcPr>
          <w:p w14:paraId="5691192F"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776" w:type="pct"/>
            <w:vMerge/>
          </w:tcPr>
          <w:p w14:paraId="17801138"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63" w:type="pct"/>
            <w:vMerge/>
          </w:tcPr>
          <w:p w14:paraId="27214F76"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D00014" w:rsidRPr="005A3F27" w14:paraId="6BA74A8F" w14:textId="77777777" w:rsidTr="00E230C4">
        <w:tc>
          <w:tcPr>
            <w:cnfStyle w:val="001000000000" w:firstRow="0" w:lastRow="0" w:firstColumn="1" w:lastColumn="0" w:oddVBand="0" w:evenVBand="0" w:oddHBand="0" w:evenHBand="0" w:firstRowFirstColumn="0" w:firstRowLastColumn="0" w:lastRowFirstColumn="0" w:lastRowLastColumn="0"/>
            <w:tcW w:w="686" w:type="pct"/>
            <w:vMerge w:val="restart"/>
          </w:tcPr>
          <w:p w14:paraId="3C7F5C3B" w14:textId="77777777" w:rsidR="00E230C4" w:rsidRPr="005A3F27" w:rsidRDefault="00E230C4" w:rsidP="009861AE">
            <w:pPr>
              <w:pStyle w:val="ECoNormal"/>
              <w:spacing w:before="0" w:after="0"/>
              <w:rPr>
                <w:sz w:val="20"/>
                <w:szCs w:val="20"/>
                <w:lang w:val="en-GB"/>
              </w:rPr>
            </w:pPr>
            <w:r w:rsidRPr="005A3F27">
              <w:rPr>
                <w:sz w:val="20"/>
                <w:szCs w:val="20"/>
                <w:lang w:val="en-GB"/>
              </w:rPr>
              <w:t>Buildings</w:t>
            </w:r>
          </w:p>
        </w:tc>
        <w:tc>
          <w:tcPr>
            <w:tcW w:w="631" w:type="pct"/>
          </w:tcPr>
          <w:p w14:paraId="7D02207E"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Commercial buildings</w:t>
            </w:r>
          </w:p>
        </w:tc>
        <w:tc>
          <w:tcPr>
            <w:tcW w:w="1214" w:type="pct"/>
          </w:tcPr>
          <w:p w14:paraId="55A5728A"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Including offices, hotels, retail buildings, public buildings, educational buildings, healthcare buildings etc.</w:t>
            </w:r>
          </w:p>
        </w:tc>
        <w:tc>
          <w:tcPr>
            <w:tcW w:w="1230" w:type="pct"/>
            <w:vMerge w:val="restart"/>
          </w:tcPr>
          <w:p w14:paraId="47280035"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An emissions footprint in the top 15% of emissions performance in the local market</w:t>
            </w:r>
          </w:p>
          <w:p w14:paraId="649CD68E"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OR</w:t>
            </w:r>
          </w:p>
          <w:p w14:paraId="6FDFF59A"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lastRenderedPageBreak/>
              <w:t>A substantial reduction in gCO2/m2 because of upgrade or retrofit</w:t>
            </w:r>
          </w:p>
        </w:tc>
        <w:tc>
          <w:tcPr>
            <w:tcW w:w="776" w:type="pct"/>
            <w:vMerge w:val="restart"/>
          </w:tcPr>
          <w:p w14:paraId="494BE23E" w14:textId="4FA080E3"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lastRenderedPageBreak/>
              <w:t xml:space="preserve">Energy efficient investments, Including </w:t>
            </w:r>
            <w:r>
              <w:rPr>
                <w:sz w:val="20"/>
                <w:szCs w:val="20"/>
                <w:lang w:val="en-GB"/>
              </w:rPr>
              <w:t xml:space="preserve">new and existing </w:t>
            </w:r>
            <w:r w:rsidRPr="005A3F27">
              <w:rPr>
                <w:sz w:val="20"/>
                <w:szCs w:val="20"/>
                <w:lang w:val="en-GB"/>
              </w:rPr>
              <w:t>buildings</w:t>
            </w:r>
          </w:p>
        </w:tc>
        <w:tc>
          <w:tcPr>
            <w:tcW w:w="463" w:type="pct"/>
            <w:vMerge w:val="restart"/>
          </w:tcPr>
          <w:p w14:paraId="7F333C90" w14:textId="02DA56F1"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en-GB"/>
              </w:rPr>
              <w:t>To be confirmed</w:t>
            </w:r>
          </w:p>
        </w:tc>
      </w:tr>
      <w:tr w:rsidR="00D00014" w:rsidRPr="005A3F27" w14:paraId="1112ACFC"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0BE43FAC" w14:textId="77777777" w:rsidR="00E230C4" w:rsidRPr="005A3F27" w:rsidRDefault="00E230C4" w:rsidP="009861AE">
            <w:pPr>
              <w:pStyle w:val="ECoNormal"/>
              <w:spacing w:before="0" w:after="0"/>
              <w:rPr>
                <w:sz w:val="20"/>
                <w:szCs w:val="20"/>
                <w:lang w:val="en-GB"/>
              </w:rPr>
            </w:pPr>
          </w:p>
        </w:tc>
        <w:tc>
          <w:tcPr>
            <w:tcW w:w="631" w:type="pct"/>
            <w:vMerge w:val="restart"/>
          </w:tcPr>
          <w:p w14:paraId="4E6B565E"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Residential buildings</w:t>
            </w:r>
          </w:p>
        </w:tc>
        <w:tc>
          <w:tcPr>
            <w:tcW w:w="1214" w:type="pct"/>
          </w:tcPr>
          <w:p w14:paraId="06DD266C"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Private dwellings</w:t>
            </w:r>
          </w:p>
        </w:tc>
        <w:tc>
          <w:tcPr>
            <w:tcW w:w="1230" w:type="pct"/>
            <w:vMerge/>
          </w:tcPr>
          <w:p w14:paraId="6D17C1A4"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776" w:type="pct"/>
            <w:vMerge/>
          </w:tcPr>
          <w:p w14:paraId="436CAA90"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63" w:type="pct"/>
            <w:vMerge/>
          </w:tcPr>
          <w:p w14:paraId="3AD82510"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D00014" w:rsidRPr="005A3F27" w14:paraId="3CC86B14"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1482EEAE" w14:textId="77777777" w:rsidR="00E230C4" w:rsidRPr="005A3F27" w:rsidRDefault="00E230C4" w:rsidP="009861AE">
            <w:pPr>
              <w:pStyle w:val="ECoNormal"/>
              <w:spacing w:before="0" w:after="0"/>
              <w:rPr>
                <w:sz w:val="20"/>
                <w:szCs w:val="20"/>
                <w:lang w:val="en-GB"/>
              </w:rPr>
            </w:pPr>
          </w:p>
        </w:tc>
        <w:tc>
          <w:tcPr>
            <w:tcW w:w="631" w:type="pct"/>
            <w:vMerge/>
          </w:tcPr>
          <w:p w14:paraId="7E0B4659"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1214" w:type="pct"/>
          </w:tcPr>
          <w:p w14:paraId="1196CCEE"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Multifamily residential buildings</w:t>
            </w:r>
          </w:p>
        </w:tc>
        <w:tc>
          <w:tcPr>
            <w:tcW w:w="1230" w:type="pct"/>
            <w:vMerge/>
          </w:tcPr>
          <w:p w14:paraId="61407F08"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776" w:type="pct"/>
            <w:vMerge/>
          </w:tcPr>
          <w:p w14:paraId="02563512"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63" w:type="pct"/>
            <w:vMerge/>
          </w:tcPr>
          <w:p w14:paraId="403E9AE0"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D00014" w:rsidRPr="005A3F27" w14:paraId="747B097A"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6FC0B7BA" w14:textId="77777777" w:rsidR="00E230C4" w:rsidRPr="005A3F27" w:rsidRDefault="00E230C4" w:rsidP="009861AE">
            <w:pPr>
              <w:pStyle w:val="ECoNormal"/>
              <w:spacing w:before="0" w:after="0"/>
              <w:rPr>
                <w:sz w:val="20"/>
                <w:szCs w:val="20"/>
                <w:lang w:val="en-GB"/>
              </w:rPr>
            </w:pPr>
          </w:p>
        </w:tc>
        <w:tc>
          <w:tcPr>
            <w:tcW w:w="631" w:type="pct"/>
            <w:vMerge w:val="restart"/>
          </w:tcPr>
          <w:p w14:paraId="4F555620"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Other building types</w:t>
            </w:r>
          </w:p>
        </w:tc>
        <w:tc>
          <w:tcPr>
            <w:tcW w:w="1214" w:type="pct"/>
          </w:tcPr>
          <w:p w14:paraId="17D5F7B3"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Data centres</w:t>
            </w:r>
          </w:p>
        </w:tc>
        <w:tc>
          <w:tcPr>
            <w:tcW w:w="1230" w:type="pct"/>
          </w:tcPr>
          <w:p w14:paraId="068C3AFD"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See ICT (pg. 16)</w:t>
            </w:r>
          </w:p>
        </w:tc>
        <w:tc>
          <w:tcPr>
            <w:tcW w:w="776" w:type="pct"/>
            <w:vMerge w:val="restart"/>
          </w:tcPr>
          <w:p w14:paraId="4CBFAEC9" w14:textId="7B252C45"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en-GB"/>
              </w:rPr>
              <w:t>N/A</w:t>
            </w:r>
          </w:p>
        </w:tc>
        <w:tc>
          <w:tcPr>
            <w:tcW w:w="463" w:type="pct"/>
            <w:vMerge w:val="restart"/>
          </w:tcPr>
          <w:p w14:paraId="70A13BAB"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D00014" w:rsidRPr="005A3F27" w14:paraId="3AF75F46"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2F277EFD" w14:textId="77777777" w:rsidR="00E230C4" w:rsidRPr="005A3F27" w:rsidRDefault="00E230C4" w:rsidP="009861AE">
            <w:pPr>
              <w:pStyle w:val="ECoNormal"/>
              <w:spacing w:before="0" w:after="0"/>
              <w:rPr>
                <w:sz w:val="20"/>
                <w:szCs w:val="20"/>
                <w:lang w:val="en-GB"/>
              </w:rPr>
            </w:pPr>
          </w:p>
        </w:tc>
        <w:tc>
          <w:tcPr>
            <w:tcW w:w="631" w:type="pct"/>
            <w:vMerge/>
          </w:tcPr>
          <w:p w14:paraId="193F7885"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1214" w:type="pct"/>
          </w:tcPr>
          <w:p w14:paraId="32FF3A2B"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Stations and related buildings for eligible transport</w:t>
            </w:r>
          </w:p>
        </w:tc>
        <w:tc>
          <w:tcPr>
            <w:tcW w:w="1230" w:type="pct"/>
          </w:tcPr>
          <w:p w14:paraId="046751C6"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See Transport (pg.7)</w:t>
            </w:r>
          </w:p>
        </w:tc>
        <w:tc>
          <w:tcPr>
            <w:tcW w:w="776" w:type="pct"/>
            <w:vMerge/>
          </w:tcPr>
          <w:p w14:paraId="0AB8DDB8"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63" w:type="pct"/>
            <w:vMerge/>
          </w:tcPr>
          <w:p w14:paraId="711E8593" w14:textId="77777777" w:rsidR="00E230C4"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D00014" w:rsidRPr="005A3F27" w14:paraId="3D884526"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3F0ED879" w14:textId="77777777" w:rsidR="00FE56CD" w:rsidRPr="005A3F27" w:rsidRDefault="00FE56CD" w:rsidP="009861AE">
            <w:pPr>
              <w:pStyle w:val="ECoNormal"/>
              <w:spacing w:before="0" w:after="0"/>
              <w:rPr>
                <w:sz w:val="20"/>
                <w:szCs w:val="20"/>
                <w:lang w:val="en-GB"/>
              </w:rPr>
            </w:pPr>
          </w:p>
        </w:tc>
        <w:tc>
          <w:tcPr>
            <w:tcW w:w="631" w:type="pct"/>
            <w:vMerge/>
          </w:tcPr>
          <w:p w14:paraId="37935DD8" w14:textId="77777777" w:rsidR="00FE56CD" w:rsidRPr="005A3F27" w:rsidRDefault="00FE56CD"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1214" w:type="pct"/>
          </w:tcPr>
          <w:p w14:paraId="2B83F0AD" w14:textId="77777777" w:rsidR="00FE56CD" w:rsidRPr="005A3F27" w:rsidRDefault="00FE56CD"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Industrial buildings</w:t>
            </w:r>
          </w:p>
        </w:tc>
        <w:tc>
          <w:tcPr>
            <w:tcW w:w="1230" w:type="pct"/>
          </w:tcPr>
          <w:p w14:paraId="7FB4E214" w14:textId="77777777" w:rsidR="00FE56CD" w:rsidRPr="005A3F27" w:rsidRDefault="00FE56CD"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See Industry (pg.14)</w:t>
            </w:r>
          </w:p>
        </w:tc>
        <w:tc>
          <w:tcPr>
            <w:tcW w:w="776" w:type="pct"/>
          </w:tcPr>
          <w:p w14:paraId="5952132C" w14:textId="74EAD8BF" w:rsidR="00FE56CD" w:rsidRPr="005A3F27"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 xml:space="preserve">Energy efficient investments, Including </w:t>
            </w:r>
            <w:r>
              <w:rPr>
                <w:sz w:val="20"/>
                <w:szCs w:val="20"/>
                <w:lang w:val="en-GB"/>
              </w:rPr>
              <w:t xml:space="preserve">new and existing </w:t>
            </w:r>
            <w:r w:rsidRPr="005A3F27">
              <w:rPr>
                <w:sz w:val="20"/>
                <w:szCs w:val="20"/>
                <w:lang w:val="en-GB"/>
              </w:rPr>
              <w:t>buildings</w:t>
            </w:r>
          </w:p>
        </w:tc>
        <w:tc>
          <w:tcPr>
            <w:tcW w:w="463" w:type="pct"/>
          </w:tcPr>
          <w:p w14:paraId="3CB66D34" w14:textId="77777777" w:rsidR="00FE56CD" w:rsidRPr="005A3F27" w:rsidRDefault="00FE56CD"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BD43CE" w:rsidRPr="005A3F27" w14:paraId="48B9D222" w14:textId="77777777" w:rsidTr="00E230C4">
        <w:tc>
          <w:tcPr>
            <w:cnfStyle w:val="001000000000" w:firstRow="0" w:lastRow="0" w:firstColumn="1" w:lastColumn="0" w:oddVBand="0" w:evenVBand="0" w:oddHBand="0" w:evenHBand="0" w:firstRowFirstColumn="0" w:firstRowLastColumn="0" w:lastRowFirstColumn="0" w:lastRowLastColumn="0"/>
            <w:tcW w:w="686" w:type="pct"/>
            <w:vMerge w:val="restart"/>
          </w:tcPr>
          <w:p w14:paraId="2FD193CE" w14:textId="77777777" w:rsidR="00BD43CE" w:rsidRPr="005A3F27" w:rsidRDefault="00BD43CE" w:rsidP="00BD43CE">
            <w:pPr>
              <w:pStyle w:val="ECoNormal"/>
              <w:spacing w:before="0" w:after="0"/>
              <w:jc w:val="left"/>
              <w:rPr>
                <w:sz w:val="20"/>
                <w:szCs w:val="20"/>
                <w:lang w:val="en-GB"/>
              </w:rPr>
            </w:pPr>
            <w:r w:rsidRPr="005A3F27">
              <w:rPr>
                <w:sz w:val="20"/>
                <w:szCs w:val="20"/>
                <w:lang w:val="en-GB"/>
              </w:rPr>
              <w:t>Products and systems for building efficiency</w:t>
            </w:r>
          </w:p>
        </w:tc>
        <w:tc>
          <w:tcPr>
            <w:tcW w:w="631" w:type="pct"/>
          </w:tcPr>
          <w:p w14:paraId="162006E0" w14:textId="77777777" w:rsidR="00BD43CE" w:rsidRPr="005A3F27"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Energy efficiency</w:t>
            </w:r>
          </w:p>
        </w:tc>
        <w:tc>
          <w:tcPr>
            <w:tcW w:w="1214" w:type="pct"/>
          </w:tcPr>
          <w:p w14:paraId="65B48C53" w14:textId="77777777" w:rsidR="00BD43CE" w:rsidRPr="005A3F27"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Facilities dedicated to manufacturing energy efficient components</w:t>
            </w:r>
          </w:p>
        </w:tc>
        <w:tc>
          <w:tcPr>
            <w:tcW w:w="1230" w:type="pct"/>
            <w:vMerge w:val="restart"/>
          </w:tcPr>
          <w:p w14:paraId="5A783AE5" w14:textId="77777777" w:rsidR="00BD43CE" w:rsidRPr="005A3F27"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See Industry (pg.14)</w:t>
            </w:r>
          </w:p>
        </w:tc>
        <w:tc>
          <w:tcPr>
            <w:tcW w:w="776" w:type="pct"/>
            <w:vMerge w:val="restart"/>
          </w:tcPr>
          <w:p w14:paraId="51784EDD" w14:textId="0E075DC2" w:rsidR="00BD43CE" w:rsidRPr="005A3F27"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en-GB"/>
              </w:rPr>
              <w:t>Improvements in industrial processes and / or fuel switching</w:t>
            </w:r>
          </w:p>
        </w:tc>
        <w:tc>
          <w:tcPr>
            <w:tcW w:w="463" w:type="pct"/>
            <w:vMerge w:val="restart"/>
          </w:tcPr>
          <w:p w14:paraId="0F764ECD" w14:textId="7F691232" w:rsidR="00BD43CE" w:rsidRPr="005A3F27"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en-GB"/>
              </w:rPr>
              <w:t>To be confirmed</w:t>
            </w:r>
          </w:p>
        </w:tc>
      </w:tr>
      <w:tr w:rsidR="00BD43CE" w:rsidRPr="005A3F27" w14:paraId="5DC0FABA"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1BBF3D04" w14:textId="77777777" w:rsidR="00BD43CE" w:rsidRPr="005A3F27" w:rsidRDefault="00BD43CE" w:rsidP="00BD43CE">
            <w:pPr>
              <w:pStyle w:val="ECoNormal"/>
              <w:spacing w:before="0" w:after="0"/>
              <w:jc w:val="left"/>
              <w:rPr>
                <w:sz w:val="20"/>
                <w:szCs w:val="20"/>
                <w:lang w:val="en-GB"/>
              </w:rPr>
            </w:pPr>
          </w:p>
        </w:tc>
        <w:tc>
          <w:tcPr>
            <w:tcW w:w="631" w:type="pct"/>
          </w:tcPr>
          <w:p w14:paraId="1294940E" w14:textId="580A2718" w:rsidR="00BD43CE" w:rsidRPr="005A3F27"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Low carbon building materials</w:t>
            </w:r>
          </w:p>
        </w:tc>
        <w:tc>
          <w:tcPr>
            <w:tcW w:w="1214" w:type="pct"/>
          </w:tcPr>
          <w:p w14:paraId="69008924" w14:textId="77777777" w:rsidR="00BD43CE" w:rsidRPr="005A3F27"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Low carbon and alternative building materials such as alternatives to cement and concrete</w:t>
            </w:r>
          </w:p>
        </w:tc>
        <w:tc>
          <w:tcPr>
            <w:tcW w:w="1230" w:type="pct"/>
            <w:vMerge/>
          </w:tcPr>
          <w:p w14:paraId="549A22C9" w14:textId="77777777" w:rsidR="00BD43CE" w:rsidRPr="005A3F27"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776" w:type="pct"/>
            <w:vMerge/>
          </w:tcPr>
          <w:p w14:paraId="38356AC3" w14:textId="77777777" w:rsidR="00BD43CE" w:rsidRPr="005A3F27"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63" w:type="pct"/>
            <w:vMerge/>
          </w:tcPr>
          <w:p w14:paraId="744D8A56" w14:textId="77777777" w:rsidR="00BD43CE" w:rsidRPr="005A3F27"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D00014" w:rsidRPr="005A3F27" w14:paraId="2051B00D" w14:textId="77777777" w:rsidTr="00E230C4">
        <w:tc>
          <w:tcPr>
            <w:cnfStyle w:val="001000000000" w:firstRow="0" w:lastRow="0" w:firstColumn="1" w:lastColumn="0" w:oddVBand="0" w:evenVBand="0" w:oddHBand="0" w:evenHBand="0" w:firstRowFirstColumn="0" w:firstRowLastColumn="0" w:lastRowFirstColumn="0" w:lastRowLastColumn="0"/>
            <w:tcW w:w="686" w:type="pct"/>
          </w:tcPr>
          <w:p w14:paraId="57C50407" w14:textId="77777777" w:rsidR="00103BDB" w:rsidRPr="005A3F27" w:rsidRDefault="00103BDB" w:rsidP="009861AE">
            <w:pPr>
              <w:pStyle w:val="ECoNormal"/>
              <w:spacing w:before="0" w:after="0"/>
              <w:rPr>
                <w:sz w:val="20"/>
                <w:szCs w:val="20"/>
                <w:lang w:val="en-GB"/>
              </w:rPr>
            </w:pPr>
            <w:r w:rsidRPr="005A3F27">
              <w:rPr>
                <w:sz w:val="20"/>
                <w:szCs w:val="20"/>
                <w:lang w:val="en-GB"/>
              </w:rPr>
              <w:t>Built environment</w:t>
            </w:r>
          </w:p>
        </w:tc>
        <w:tc>
          <w:tcPr>
            <w:tcW w:w="631" w:type="pct"/>
          </w:tcPr>
          <w:p w14:paraId="3C38755B" w14:textId="77777777" w:rsidR="00103BDB" w:rsidRPr="005A3F27" w:rsidRDefault="00103BDB"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Urban or semi-urban areas</w:t>
            </w:r>
          </w:p>
        </w:tc>
        <w:tc>
          <w:tcPr>
            <w:tcW w:w="1214" w:type="pct"/>
          </w:tcPr>
          <w:p w14:paraId="5CFB04B7" w14:textId="77777777" w:rsidR="00103BDB" w:rsidRPr="005A3F27" w:rsidRDefault="00103BDB"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Such as neighbourhood level works, upgrades and retrofits such as street lighting</w:t>
            </w:r>
          </w:p>
        </w:tc>
        <w:tc>
          <w:tcPr>
            <w:tcW w:w="1230" w:type="pct"/>
          </w:tcPr>
          <w:p w14:paraId="24F0C676" w14:textId="77777777" w:rsidR="00103BDB" w:rsidRPr="005A3F27" w:rsidRDefault="00103BDB"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The built environment or specific programme must improve its emissions performance (gCO2/m2) substantially</w:t>
            </w:r>
          </w:p>
        </w:tc>
        <w:tc>
          <w:tcPr>
            <w:tcW w:w="776" w:type="pct"/>
          </w:tcPr>
          <w:p w14:paraId="43FA5883" w14:textId="548AD191" w:rsidR="00103BDB" w:rsidRPr="005A3F27"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en-GB"/>
              </w:rPr>
              <w:t>N/A</w:t>
            </w:r>
          </w:p>
        </w:tc>
        <w:tc>
          <w:tcPr>
            <w:tcW w:w="463" w:type="pct"/>
          </w:tcPr>
          <w:p w14:paraId="7622638B" w14:textId="77777777" w:rsidR="00103BDB" w:rsidRPr="005A3F27" w:rsidRDefault="00103BDB"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BD43CE" w:rsidRPr="005A3F27" w14:paraId="59850438" w14:textId="77777777" w:rsidTr="00E230C4">
        <w:tc>
          <w:tcPr>
            <w:cnfStyle w:val="001000000000" w:firstRow="0" w:lastRow="0" w:firstColumn="1" w:lastColumn="0" w:oddVBand="0" w:evenVBand="0" w:oddHBand="0" w:evenHBand="0" w:firstRowFirstColumn="0" w:firstRowLastColumn="0" w:lastRowFirstColumn="0" w:lastRowLastColumn="0"/>
            <w:tcW w:w="686" w:type="pct"/>
            <w:vMerge w:val="restart"/>
          </w:tcPr>
          <w:p w14:paraId="78DBB391" w14:textId="77777777" w:rsidR="00BD43CE" w:rsidRPr="005A3F27" w:rsidRDefault="00BD43CE" w:rsidP="009861AE">
            <w:pPr>
              <w:pStyle w:val="ECoNormal"/>
              <w:spacing w:before="0" w:after="0"/>
              <w:rPr>
                <w:sz w:val="20"/>
                <w:szCs w:val="20"/>
                <w:lang w:val="en-GB"/>
              </w:rPr>
            </w:pPr>
            <w:r w:rsidRPr="005A3F27">
              <w:rPr>
                <w:sz w:val="20"/>
                <w:szCs w:val="20"/>
                <w:lang w:val="en-GB"/>
              </w:rPr>
              <w:t>Urban Planning</w:t>
            </w:r>
          </w:p>
          <w:p w14:paraId="14D7EE63" w14:textId="77777777" w:rsidR="00BD43CE" w:rsidRPr="005A3F27" w:rsidRDefault="00BD43CE" w:rsidP="009861AE">
            <w:pPr>
              <w:pStyle w:val="ECoNormal"/>
              <w:spacing w:before="0" w:after="0"/>
              <w:rPr>
                <w:sz w:val="20"/>
                <w:szCs w:val="20"/>
                <w:lang w:val="en-GB"/>
              </w:rPr>
            </w:pPr>
          </w:p>
        </w:tc>
        <w:tc>
          <w:tcPr>
            <w:tcW w:w="631" w:type="pct"/>
            <w:vMerge w:val="restart"/>
          </w:tcPr>
          <w:p w14:paraId="3AE0F626" w14:textId="77777777" w:rsidR="00BD43CE" w:rsidRPr="005A3F27"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Infrastructure</w:t>
            </w:r>
          </w:p>
        </w:tc>
        <w:tc>
          <w:tcPr>
            <w:tcW w:w="1214" w:type="pct"/>
          </w:tcPr>
          <w:p w14:paraId="634FF3C2" w14:textId="77777777" w:rsidR="00BD43CE" w:rsidRPr="005A3F27"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District heating for residential and commercial applications</w:t>
            </w:r>
          </w:p>
        </w:tc>
        <w:tc>
          <w:tcPr>
            <w:tcW w:w="1230" w:type="pct"/>
          </w:tcPr>
          <w:p w14:paraId="0D473F28" w14:textId="77777777" w:rsidR="00BD43CE" w:rsidRPr="005A3F27"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Fed primarily by renewable energy</w:t>
            </w:r>
          </w:p>
        </w:tc>
        <w:tc>
          <w:tcPr>
            <w:tcW w:w="776" w:type="pct"/>
            <w:vMerge w:val="restart"/>
          </w:tcPr>
          <w:p w14:paraId="014EA7AB" w14:textId="613AE5F3" w:rsidR="00BD43CE" w:rsidRPr="005A3F27"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en-GB"/>
              </w:rPr>
              <w:t>N/A</w:t>
            </w:r>
          </w:p>
        </w:tc>
        <w:tc>
          <w:tcPr>
            <w:tcW w:w="463" w:type="pct"/>
          </w:tcPr>
          <w:p w14:paraId="4182FF32" w14:textId="77777777" w:rsidR="00BD43CE" w:rsidRPr="005A3F27"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BD43CE" w:rsidRPr="005A3F27" w14:paraId="04BD00AB"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5EFFC297" w14:textId="77777777" w:rsidR="00BD43CE" w:rsidRPr="005A3F27" w:rsidRDefault="00BD43CE" w:rsidP="009861AE">
            <w:pPr>
              <w:pStyle w:val="ECoNormal"/>
              <w:spacing w:before="0" w:after="0"/>
              <w:rPr>
                <w:sz w:val="20"/>
                <w:szCs w:val="20"/>
                <w:lang w:val="en-GB"/>
              </w:rPr>
            </w:pPr>
          </w:p>
        </w:tc>
        <w:tc>
          <w:tcPr>
            <w:tcW w:w="631" w:type="pct"/>
            <w:vMerge/>
          </w:tcPr>
          <w:p w14:paraId="14D90A6D" w14:textId="77777777" w:rsidR="00BD43CE" w:rsidRPr="005A3F27"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1214" w:type="pct"/>
          </w:tcPr>
          <w:p w14:paraId="6571BCD4" w14:textId="77777777" w:rsidR="00BD43CE" w:rsidRPr="005A3F27"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Building, maintaining or upgrading utility tunnels for cables or pipelines</w:t>
            </w:r>
          </w:p>
        </w:tc>
        <w:tc>
          <w:tcPr>
            <w:tcW w:w="1230" w:type="pct"/>
          </w:tcPr>
          <w:p w14:paraId="57660AEC" w14:textId="77777777" w:rsidR="00BD43CE" w:rsidRPr="005A3F27"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Significant resource and energy efficiency improvements</w:t>
            </w:r>
          </w:p>
        </w:tc>
        <w:tc>
          <w:tcPr>
            <w:tcW w:w="776" w:type="pct"/>
            <w:vMerge/>
          </w:tcPr>
          <w:p w14:paraId="00BDEDE2" w14:textId="77777777" w:rsidR="00BD43CE" w:rsidRPr="005A3F27"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63" w:type="pct"/>
          </w:tcPr>
          <w:p w14:paraId="115BAB08" w14:textId="77777777" w:rsidR="00BD43CE" w:rsidRPr="005A3F27"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BD43CE" w:rsidRPr="005A3F27" w14:paraId="34268435"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61CF45EC" w14:textId="77777777" w:rsidR="00BD43CE" w:rsidRPr="005A3F27" w:rsidRDefault="00BD43CE" w:rsidP="009861AE">
            <w:pPr>
              <w:pStyle w:val="ECoNormal"/>
              <w:spacing w:before="0" w:after="0"/>
              <w:rPr>
                <w:sz w:val="20"/>
                <w:szCs w:val="20"/>
                <w:lang w:val="en-GB"/>
              </w:rPr>
            </w:pPr>
          </w:p>
        </w:tc>
        <w:tc>
          <w:tcPr>
            <w:tcW w:w="631" w:type="pct"/>
          </w:tcPr>
          <w:p w14:paraId="67BA4DDB" w14:textId="77777777" w:rsidR="00BD43CE" w:rsidRPr="005A3F27"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Other</w:t>
            </w:r>
          </w:p>
        </w:tc>
        <w:tc>
          <w:tcPr>
            <w:tcW w:w="1214" w:type="pct"/>
          </w:tcPr>
          <w:p w14:paraId="7149A7EB" w14:textId="77777777" w:rsidR="00BD43CE" w:rsidRPr="005A3F27"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Urban policies and regulations directed to climate change mitigation e.g. car-free areas</w:t>
            </w:r>
          </w:p>
        </w:tc>
        <w:tc>
          <w:tcPr>
            <w:tcW w:w="1230" w:type="pct"/>
          </w:tcPr>
          <w:p w14:paraId="31BBC8A6" w14:textId="77777777" w:rsidR="00BD43CE" w:rsidRPr="005A3F27"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Significant impact on urban emissions</w:t>
            </w:r>
          </w:p>
        </w:tc>
        <w:tc>
          <w:tcPr>
            <w:tcW w:w="776" w:type="pct"/>
            <w:vMerge/>
          </w:tcPr>
          <w:p w14:paraId="0C0D5FE6" w14:textId="77777777" w:rsidR="00BD43CE" w:rsidRPr="005A3F27"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63" w:type="pct"/>
          </w:tcPr>
          <w:p w14:paraId="7824BAFD" w14:textId="77777777" w:rsidR="00BD43CE" w:rsidRPr="005A3F27"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BD43CE" w:rsidRPr="005A3F27" w14:paraId="5A9702A2" w14:textId="77777777" w:rsidTr="00E230C4">
        <w:tc>
          <w:tcPr>
            <w:cnfStyle w:val="001000000000" w:firstRow="0" w:lastRow="0" w:firstColumn="1" w:lastColumn="0" w:oddVBand="0" w:evenVBand="0" w:oddHBand="0" w:evenHBand="0" w:firstRowFirstColumn="0" w:firstRowLastColumn="0" w:lastRowFirstColumn="0" w:lastRowLastColumn="0"/>
            <w:tcW w:w="686" w:type="pct"/>
            <w:vMerge w:val="restart"/>
          </w:tcPr>
          <w:p w14:paraId="44AAA851" w14:textId="60900799" w:rsidR="00BD43CE" w:rsidRPr="005A3F27" w:rsidRDefault="00BD43CE" w:rsidP="009861AE">
            <w:pPr>
              <w:pStyle w:val="ECoNormal"/>
              <w:spacing w:before="0" w:after="0"/>
              <w:rPr>
                <w:sz w:val="20"/>
                <w:szCs w:val="20"/>
                <w:lang w:val="en-GB"/>
              </w:rPr>
            </w:pPr>
            <w:r w:rsidRPr="005A3F27">
              <w:rPr>
                <w:sz w:val="20"/>
                <w:szCs w:val="20"/>
                <w:lang w:val="en-GB"/>
              </w:rPr>
              <w:t>Agriculture (including mixed use productive systems)</w:t>
            </w:r>
          </w:p>
        </w:tc>
        <w:tc>
          <w:tcPr>
            <w:tcW w:w="631" w:type="pct"/>
            <w:vMerge w:val="restart"/>
          </w:tcPr>
          <w:p w14:paraId="6207F4B4" w14:textId="77777777" w:rsidR="00BD43CE" w:rsidRPr="005A3F27"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Agricultural production</w:t>
            </w:r>
          </w:p>
        </w:tc>
        <w:tc>
          <w:tcPr>
            <w:tcW w:w="1214" w:type="pct"/>
          </w:tcPr>
          <w:p w14:paraId="66438FF4" w14:textId="77777777" w:rsidR="00BD43CE" w:rsidRPr="005A3F27"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Agricultural land - including land used for the production of crops, agroforestry and silvopastoral systems, land used to rear livestock</w:t>
            </w:r>
          </w:p>
        </w:tc>
        <w:tc>
          <w:tcPr>
            <w:tcW w:w="1230" w:type="pct"/>
          </w:tcPr>
          <w:p w14:paraId="48F6796D" w14:textId="77777777" w:rsidR="00BD43CE" w:rsidRPr="005A3F27"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Demonstration of significant carbon sequestration, reduction in emissions or compatibility with ‘low carbon agriculture’ targets</w:t>
            </w:r>
          </w:p>
        </w:tc>
        <w:tc>
          <w:tcPr>
            <w:tcW w:w="776" w:type="pct"/>
            <w:vMerge w:val="restart"/>
          </w:tcPr>
          <w:p w14:paraId="329D391E" w14:textId="2EEE47F1" w:rsidR="00BD43CE" w:rsidRPr="005A3F27"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en-GB"/>
              </w:rPr>
              <w:t xml:space="preserve">Improvements in land management / reductions in net </w:t>
            </w:r>
            <w:r w:rsidRPr="00BD43CE">
              <w:rPr>
                <w:sz w:val="20"/>
                <w:szCs w:val="20"/>
                <w:lang w:val="en-GB"/>
              </w:rPr>
              <w:t xml:space="preserve">Agriculture, Forestry and Other Land Use </w:t>
            </w:r>
            <w:r w:rsidRPr="00BD43CE">
              <w:rPr>
                <w:sz w:val="20"/>
                <w:szCs w:val="20"/>
                <w:lang w:val="en-GB"/>
              </w:rPr>
              <w:lastRenderedPageBreak/>
              <w:t>(AFOLU)</w:t>
            </w:r>
            <w:r>
              <w:rPr>
                <w:sz w:val="20"/>
                <w:szCs w:val="20"/>
                <w:lang w:val="en-GB"/>
              </w:rPr>
              <w:t xml:space="preserve"> greenhouse gas emissions</w:t>
            </w:r>
          </w:p>
        </w:tc>
        <w:tc>
          <w:tcPr>
            <w:tcW w:w="463" w:type="pct"/>
            <w:vMerge w:val="restart"/>
          </w:tcPr>
          <w:p w14:paraId="54A50AAA" w14:textId="63018B76" w:rsidR="00BD43CE" w:rsidRPr="005A3F27"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en-GB"/>
              </w:rPr>
              <w:lastRenderedPageBreak/>
              <w:t>To be confirmed</w:t>
            </w:r>
          </w:p>
        </w:tc>
      </w:tr>
      <w:tr w:rsidR="00BD43CE" w:rsidRPr="005A3F27" w14:paraId="36E4E9F3"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6E4CE9C0" w14:textId="77777777" w:rsidR="00BD43CE" w:rsidRPr="005A3F27" w:rsidRDefault="00BD43CE" w:rsidP="009861AE">
            <w:pPr>
              <w:pStyle w:val="ECoNormal"/>
              <w:spacing w:before="0" w:after="0"/>
              <w:rPr>
                <w:color w:val="231F20"/>
                <w:w w:val="85"/>
                <w:sz w:val="20"/>
                <w:szCs w:val="20"/>
                <w:lang w:val="en-GB"/>
              </w:rPr>
            </w:pPr>
          </w:p>
        </w:tc>
        <w:tc>
          <w:tcPr>
            <w:tcW w:w="631" w:type="pct"/>
            <w:vMerge/>
          </w:tcPr>
          <w:p w14:paraId="17B04FFB" w14:textId="77777777" w:rsidR="00BD43CE" w:rsidRPr="005A3F27"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1214" w:type="pct"/>
          </w:tcPr>
          <w:p w14:paraId="61F912F1" w14:textId="77777777" w:rsidR="00BD43CE" w:rsidRPr="005A3F27"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Livestock</w:t>
            </w:r>
          </w:p>
        </w:tc>
        <w:tc>
          <w:tcPr>
            <w:tcW w:w="1230" w:type="pct"/>
          </w:tcPr>
          <w:p w14:paraId="2B58A1AF" w14:textId="77777777" w:rsidR="00BD43CE" w:rsidRPr="005A3F27"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776" w:type="pct"/>
            <w:vMerge/>
          </w:tcPr>
          <w:p w14:paraId="023F9344" w14:textId="77777777" w:rsidR="00BD43CE" w:rsidRPr="005A3F27"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63" w:type="pct"/>
            <w:vMerge/>
          </w:tcPr>
          <w:p w14:paraId="5C013F44" w14:textId="77777777" w:rsidR="00BD43CE" w:rsidRPr="005A3F27"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BD43CE" w:rsidRPr="005A3F27" w14:paraId="0F7791EC"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06EFDC62" w14:textId="77777777" w:rsidR="00BD43CE" w:rsidRPr="005A3F27" w:rsidRDefault="00BD43CE" w:rsidP="009861AE">
            <w:pPr>
              <w:pStyle w:val="ECoNormal"/>
              <w:spacing w:before="0" w:after="0"/>
              <w:rPr>
                <w:color w:val="231F20"/>
                <w:w w:val="85"/>
                <w:sz w:val="20"/>
                <w:szCs w:val="20"/>
                <w:lang w:val="en-GB"/>
              </w:rPr>
            </w:pPr>
          </w:p>
        </w:tc>
        <w:tc>
          <w:tcPr>
            <w:tcW w:w="631" w:type="pct"/>
            <w:vMerge/>
          </w:tcPr>
          <w:p w14:paraId="3AE64B8E" w14:textId="77777777" w:rsidR="00BD43CE" w:rsidRPr="005A3F27"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1214" w:type="pct"/>
          </w:tcPr>
          <w:p w14:paraId="2FED6A04" w14:textId="77777777" w:rsidR="00BD43CE" w:rsidRPr="005A3F27"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Agricultural production on peatland</w:t>
            </w:r>
          </w:p>
        </w:tc>
        <w:tc>
          <w:tcPr>
            <w:tcW w:w="1230" w:type="pct"/>
          </w:tcPr>
          <w:p w14:paraId="4208F6B7" w14:textId="77777777" w:rsidR="00BD43CE" w:rsidRPr="005A3F27"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776" w:type="pct"/>
            <w:vMerge/>
          </w:tcPr>
          <w:p w14:paraId="6CEDAD75" w14:textId="77777777" w:rsidR="00BD43CE" w:rsidRPr="005A3F27"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63" w:type="pct"/>
            <w:vMerge/>
          </w:tcPr>
          <w:p w14:paraId="75245FAE" w14:textId="77777777" w:rsidR="00BD43CE" w:rsidRPr="005A3F27"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BD43CE" w:rsidRPr="005A3F27" w14:paraId="25D4219C"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7925BA03" w14:textId="77777777" w:rsidR="00BD43CE" w:rsidRPr="005A3F27" w:rsidRDefault="00BD43CE" w:rsidP="009861AE">
            <w:pPr>
              <w:pStyle w:val="ECoNormal"/>
              <w:spacing w:before="0" w:after="0"/>
              <w:rPr>
                <w:color w:val="231F20"/>
                <w:w w:val="85"/>
                <w:sz w:val="20"/>
                <w:szCs w:val="20"/>
                <w:lang w:val="en-GB"/>
              </w:rPr>
            </w:pPr>
          </w:p>
        </w:tc>
        <w:tc>
          <w:tcPr>
            <w:tcW w:w="631" w:type="pct"/>
            <w:vMerge w:val="restart"/>
          </w:tcPr>
          <w:p w14:paraId="375DF688" w14:textId="77777777" w:rsidR="00BD43CE" w:rsidRPr="005A3F27"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Infrastructure</w:t>
            </w:r>
          </w:p>
        </w:tc>
        <w:tc>
          <w:tcPr>
            <w:tcW w:w="1214" w:type="pct"/>
          </w:tcPr>
          <w:p w14:paraId="2AC7998C" w14:textId="77777777" w:rsidR="00BD43CE" w:rsidRPr="005A3F27"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Machinery and equipment to manage and cultivate eligible land or livestock</w:t>
            </w:r>
          </w:p>
        </w:tc>
        <w:tc>
          <w:tcPr>
            <w:tcW w:w="1230" w:type="pct"/>
          </w:tcPr>
          <w:p w14:paraId="465A570B" w14:textId="77777777" w:rsidR="00BD43CE" w:rsidRPr="005A3F27"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Eligible if the agricultural production adheres with the above</w:t>
            </w:r>
          </w:p>
        </w:tc>
        <w:tc>
          <w:tcPr>
            <w:tcW w:w="776" w:type="pct"/>
            <w:vMerge w:val="restart"/>
          </w:tcPr>
          <w:p w14:paraId="12CA09E8" w14:textId="0448DE94" w:rsidR="00BD43CE" w:rsidRPr="00BD43CE"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en-GB"/>
              </w:rPr>
              <w:t xml:space="preserve">Improvements in land management / reductions in net </w:t>
            </w:r>
            <w:r w:rsidRPr="00BD43CE">
              <w:rPr>
                <w:sz w:val="20"/>
                <w:szCs w:val="20"/>
                <w:lang w:val="en-GB"/>
              </w:rPr>
              <w:t>Agriculture, Forestry and Other Land Use (AFOLU)</w:t>
            </w:r>
            <w:r>
              <w:rPr>
                <w:sz w:val="20"/>
                <w:szCs w:val="20"/>
                <w:lang w:val="en-GB"/>
              </w:rPr>
              <w:t xml:space="preserve"> greenhouse gas emissions</w:t>
            </w:r>
          </w:p>
        </w:tc>
        <w:tc>
          <w:tcPr>
            <w:tcW w:w="463" w:type="pct"/>
            <w:vMerge w:val="restart"/>
          </w:tcPr>
          <w:p w14:paraId="6BEAB2A4" w14:textId="6520147C" w:rsidR="00BD43CE" w:rsidRPr="005A3F27"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en-GB"/>
              </w:rPr>
              <w:t>To be confirmed</w:t>
            </w:r>
          </w:p>
        </w:tc>
      </w:tr>
      <w:tr w:rsidR="00BD43CE" w:rsidRPr="005A3F27" w14:paraId="1B78BBE2"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561A2407" w14:textId="77777777" w:rsidR="00BD43CE" w:rsidRPr="005A3F27" w:rsidRDefault="00BD43CE" w:rsidP="009861AE">
            <w:pPr>
              <w:pStyle w:val="ECoNormal"/>
              <w:spacing w:before="0" w:after="0"/>
              <w:rPr>
                <w:color w:val="231F20"/>
                <w:w w:val="85"/>
                <w:sz w:val="20"/>
                <w:szCs w:val="20"/>
                <w:lang w:val="en-GB"/>
              </w:rPr>
            </w:pPr>
          </w:p>
        </w:tc>
        <w:tc>
          <w:tcPr>
            <w:tcW w:w="631" w:type="pct"/>
            <w:vMerge/>
          </w:tcPr>
          <w:p w14:paraId="43E50FE3" w14:textId="77777777" w:rsidR="00BD43CE" w:rsidRPr="005A3F27"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1214" w:type="pct"/>
          </w:tcPr>
          <w:p w14:paraId="459F4E28" w14:textId="77777777" w:rsidR="00BD43CE" w:rsidRPr="005A3F27"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Associated management, information systems and other technologies</w:t>
            </w:r>
          </w:p>
        </w:tc>
        <w:tc>
          <w:tcPr>
            <w:tcW w:w="1230" w:type="pct"/>
          </w:tcPr>
          <w:p w14:paraId="0B863471" w14:textId="77777777" w:rsidR="00BD43CE" w:rsidRPr="005A3F27"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776" w:type="pct"/>
            <w:vMerge/>
          </w:tcPr>
          <w:p w14:paraId="369699B6" w14:textId="77777777" w:rsidR="00BD43CE" w:rsidRPr="005A3F27"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63" w:type="pct"/>
            <w:vMerge/>
          </w:tcPr>
          <w:p w14:paraId="4A93999B" w14:textId="77777777" w:rsidR="00BD43CE" w:rsidRPr="005A3F27"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BD43CE" w:rsidRPr="005A3F27" w14:paraId="41DBD48C"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01CC8826" w14:textId="77777777" w:rsidR="00BD43CE" w:rsidRPr="005A3F27" w:rsidRDefault="00BD43CE" w:rsidP="009861AE">
            <w:pPr>
              <w:pStyle w:val="ECoNormal"/>
              <w:spacing w:before="0" w:after="0"/>
              <w:rPr>
                <w:color w:val="231F20"/>
                <w:w w:val="85"/>
                <w:sz w:val="20"/>
                <w:szCs w:val="20"/>
                <w:lang w:val="en-GB"/>
              </w:rPr>
            </w:pPr>
          </w:p>
        </w:tc>
        <w:tc>
          <w:tcPr>
            <w:tcW w:w="631" w:type="pct"/>
            <w:vMerge/>
          </w:tcPr>
          <w:p w14:paraId="1E8FD261" w14:textId="77777777" w:rsidR="00BD43CE" w:rsidRPr="005A3F27"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1214" w:type="pct"/>
          </w:tcPr>
          <w:p w14:paraId="0E868C0A" w14:textId="77777777" w:rsidR="00BD43CE" w:rsidRPr="005A3F27"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Drip, flood and pivot irrigation systems</w:t>
            </w:r>
          </w:p>
        </w:tc>
        <w:tc>
          <w:tcPr>
            <w:tcW w:w="1230" w:type="pct"/>
          </w:tcPr>
          <w:p w14:paraId="5AB719F9" w14:textId="77777777" w:rsidR="00BD43CE" w:rsidRPr="005A3F27"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See Water (pg.10)</w:t>
            </w:r>
          </w:p>
        </w:tc>
        <w:tc>
          <w:tcPr>
            <w:tcW w:w="776" w:type="pct"/>
          </w:tcPr>
          <w:p w14:paraId="3D6C4418" w14:textId="4E02E0E8" w:rsidR="00BD43CE" w:rsidRPr="005A3F27"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BD43CE">
              <w:rPr>
                <w:sz w:val="20"/>
                <w:szCs w:val="20"/>
                <w:lang w:val="en-GB"/>
              </w:rPr>
              <w:t>Climate resilience investments which do not undermine adaptive capacity of other system</w:t>
            </w:r>
          </w:p>
        </w:tc>
        <w:tc>
          <w:tcPr>
            <w:tcW w:w="463" w:type="pct"/>
          </w:tcPr>
          <w:p w14:paraId="7D7D1000" w14:textId="77777777" w:rsidR="00BD43CE" w:rsidRPr="005A3F27"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BD43CE" w:rsidRPr="005A3F27" w14:paraId="4F245266" w14:textId="77777777" w:rsidTr="00E230C4">
        <w:tc>
          <w:tcPr>
            <w:cnfStyle w:val="001000000000" w:firstRow="0" w:lastRow="0" w:firstColumn="1" w:lastColumn="0" w:oddVBand="0" w:evenVBand="0" w:oddHBand="0" w:evenHBand="0" w:firstRowFirstColumn="0" w:firstRowLastColumn="0" w:lastRowFirstColumn="0" w:lastRowLastColumn="0"/>
            <w:tcW w:w="686" w:type="pct"/>
            <w:vMerge w:val="restart"/>
          </w:tcPr>
          <w:p w14:paraId="2975E523" w14:textId="6E36B417" w:rsidR="00BD43CE" w:rsidRPr="005A3F27" w:rsidRDefault="00BD43CE" w:rsidP="009861AE">
            <w:pPr>
              <w:pStyle w:val="ECoNormal"/>
              <w:spacing w:before="0" w:after="0"/>
              <w:rPr>
                <w:sz w:val="20"/>
                <w:szCs w:val="20"/>
                <w:lang w:val="en-GB"/>
              </w:rPr>
            </w:pPr>
            <w:r w:rsidRPr="005A3F27">
              <w:rPr>
                <w:sz w:val="20"/>
                <w:szCs w:val="20"/>
                <w:lang w:val="en-GB"/>
              </w:rPr>
              <w:t>Commercial forestry</w:t>
            </w:r>
          </w:p>
        </w:tc>
        <w:tc>
          <w:tcPr>
            <w:tcW w:w="631" w:type="pct"/>
            <w:vMerge w:val="restart"/>
          </w:tcPr>
          <w:p w14:paraId="2AE4473C" w14:textId="77777777" w:rsidR="00BD43CE" w:rsidRPr="005A3F27"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Forests &amp; timber</w:t>
            </w:r>
          </w:p>
          <w:p w14:paraId="128D8245" w14:textId="77777777" w:rsidR="00BD43CE" w:rsidRPr="005A3F27"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production</w:t>
            </w:r>
          </w:p>
        </w:tc>
        <w:tc>
          <w:tcPr>
            <w:tcW w:w="1214" w:type="pct"/>
          </w:tcPr>
          <w:p w14:paraId="59CB50C1" w14:textId="77777777" w:rsidR="00BD43CE" w:rsidRPr="005A3F27"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Plantations and natural forests</w:t>
            </w:r>
          </w:p>
        </w:tc>
        <w:tc>
          <w:tcPr>
            <w:tcW w:w="1230" w:type="pct"/>
            <w:vMerge w:val="restart"/>
          </w:tcPr>
          <w:p w14:paraId="67E5E516" w14:textId="77777777" w:rsidR="00BD43CE" w:rsidRPr="005A3F27"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No conversion from natural landscape and health of the forest is well managed</w:t>
            </w:r>
          </w:p>
        </w:tc>
        <w:tc>
          <w:tcPr>
            <w:tcW w:w="776" w:type="pct"/>
            <w:vMerge w:val="restart"/>
          </w:tcPr>
          <w:p w14:paraId="7992692F" w14:textId="7ADD18AE" w:rsidR="00BD43CE" w:rsidRPr="005A3F27"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en-GB"/>
              </w:rPr>
              <w:t xml:space="preserve">Improvements in land management / reductions in net </w:t>
            </w:r>
            <w:r w:rsidRPr="00BD43CE">
              <w:rPr>
                <w:sz w:val="20"/>
                <w:szCs w:val="20"/>
                <w:lang w:val="en-GB"/>
              </w:rPr>
              <w:t>Agriculture, Forestry and Other Land Use (AFOLU)</w:t>
            </w:r>
            <w:r>
              <w:rPr>
                <w:sz w:val="20"/>
                <w:szCs w:val="20"/>
                <w:lang w:val="en-GB"/>
              </w:rPr>
              <w:t xml:space="preserve"> greenhouse gas emissions</w:t>
            </w:r>
          </w:p>
        </w:tc>
        <w:tc>
          <w:tcPr>
            <w:tcW w:w="463" w:type="pct"/>
            <w:vMerge w:val="restart"/>
          </w:tcPr>
          <w:p w14:paraId="00DA3B5F" w14:textId="1ABEC8FE" w:rsidR="00BD43CE" w:rsidRPr="005A3F27"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en-GB"/>
              </w:rPr>
              <w:t>To be confirmed</w:t>
            </w:r>
          </w:p>
        </w:tc>
      </w:tr>
      <w:tr w:rsidR="00BD43CE" w:rsidRPr="005A3F27" w14:paraId="17908CC4"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3F79F74F" w14:textId="77777777" w:rsidR="00BD43CE" w:rsidRPr="005A3F27" w:rsidRDefault="00BD43CE" w:rsidP="009861AE">
            <w:pPr>
              <w:pStyle w:val="ECoNormal"/>
              <w:spacing w:before="0" w:after="0"/>
              <w:rPr>
                <w:color w:val="231F20"/>
                <w:w w:val="90"/>
                <w:sz w:val="20"/>
                <w:szCs w:val="20"/>
                <w:lang w:val="en-GB"/>
              </w:rPr>
            </w:pPr>
          </w:p>
        </w:tc>
        <w:tc>
          <w:tcPr>
            <w:tcW w:w="631" w:type="pct"/>
            <w:vMerge/>
          </w:tcPr>
          <w:p w14:paraId="4511785A" w14:textId="77777777" w:rsidR="00BD43CE" w:rsidRPr="005A3F27"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1214" w:type="pct"/>
          </w:tcPr>
          <w:p w14:paraId="4A42E8B1" w14:textId="77777777" w:rsidR="00BD43CE" w:rsidRPr="005A3F27"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Timber production on peatland</w:t>
            </w:r>
          </w:p>
        </w:tc>
        <w:tc>
          <w:tcPr>
            <w:tcW w:w="1230" w:type="pct"/>
            <w:vMerge/>
          </w:tcPr>
          <w:p w14:paraId="03E59988" w14:textId="77777777" w:rsidR="00BD43CE" w:rsidRPr="005A3F27"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776" w:type="pct"/>
            <w:vMerge/>
          </w:tcPr>
          <w:p w14:paraId="1A3FB7F9" w14:textId="77777777" w:rsidR="00BD43CE" w:rsidRPr="005A3F27"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63" w:type="pct"/>
            <w:vMerge/>
          </w:tcPr>
          <w:p w14:paraId="19817C76" w14:textId="77777777" w:rsidR="00BD43CE" w:rsidRPr="005A3F27"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BD43CE" w:rsidRPr="005A3F27" w14:paraId="17F90B4C"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1F750323" w14:textId="77777777" w:rsidR="00BD43CE" w:rsidRPr="005A3F27" w:rsidRDefault="00BD43CE" w:rsidP="00BD43CE">
            <w:pPr>
              <w:pStyle w:val="ECoNormal"/>
              <w:spacing w:before="0" w:after="0"/>
              <w:rPr>
                <w:color w:val="231F20"/>
                <w:w w:val="90"/>
                <w:sz w:val="20"/>
                <w:szCs w:val="20"/>
                <w:lang w:val="en-GB"/>
              </w:rPr>
            </w:pPr>
          </w:p>
        </w:tc>
        <w:tc>
          <w:tcPr>
            <w:tcW w:w="631" w:type="pct"/>
            <w:vMerge w:val="restart"/>
          </w:tcPr>
          <w:p w14:paraId="67061793" w14:textId="77777777" w:rsidR="00BD43CE" w:rsidRPr="005A3F27"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Infrastructure</w:t>
            </w:r>
          </w:p>
        </w:tc>
        <w:tc>
          <w:tcPr>
            <w:tcW w:w="1214" w:type="pct"/>
          </w:tcPr>
          <w:p w14:paraId="6FC355A4" w14:textId="77777777" w:rsidR="00BD43CE" w:rsidRPr="005A3F27"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Machinery and equipment to manage and cultivate eligible forested land</w:t>
            </w:r>
          </w:p>
        </w:tc>
        <w:tc>
          <w:tcPr>
            <w:tcW w:w="1230" w:type="pct"/>
            <w:vMerge w:val="restart"/>
          </w:tcPr>
          <w:p w14:paraId="33B95C5B" w14:textId="77777777" w:rsidR="00BD43CE" w:rsidRPr="005A3F27"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Eligible if the forest and timber production adheres with the above</w:t>
            </w:r>
          </w:p>
        </w:tc>
        <w:tc>
          <w:tcPr>
            <w:tcW w:w="776" w:type="pct"/>
            <w:vMerge w:val="restart"/>
          </w:tcPr>
          <w:p w14:paraId="6918D890" w14:textId="5EF0BA3E" w:rsidR="00BD43CE" w:rsidRPr="005A3F27"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en-GB"/>
              </w:rPr>
              <w:t xml:space="preserve">Improvements in land management / reductions in net </w:t>
            </w:r>
            <w:r w:rsidRPr="00BD43CE">
              <w:rPr>
                <w:sz w:val="20"/>
                <w:szCs w:val="20"/>
                <w:lang w:val="en-GB"/>
              </w:rPr>
              <w:t>Agriculture, Forestry and Other Land Use (AFOLU)</w:t>
            </w:r>
            <w:r>
              <w:rPr>
                <w:sz w:val="20"/>
                <w:szCs w:val="20"/>
                <w:lang w:val="en-GB"/>
              </w:rPr>
              <w:t xml:space="preserve"> greenhouse gas emissions</w:t>
            </w:r>
          </w:p>
        </w:tc>
        <w:tc>
          <w:tcPr>
            <w:tcW w:w="463" w:type="pct"/>
            <w:vMerge w:val="restart"/>
          </w:tcPr>
          <w:p w14:paraId="7938ED6B" w14:textId="5425C50C" w:rsidR="00BD43CE" w:rsidRPr="005A3F27"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en-GB"/>
              </w:rPr>
              <w:t>To be confirmed</w:t>
            </w:r>
          </w:p>
        </w:tc>
      </w:tr>
      <w:tr w:rsidR="00BD43CE" w:rsidRPr="005A3F27" w14:paraId="116DF798"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48332BF7" w14:textId="77777777" w:rsidR="00BD43CE" w:rsidRPr="005A3F27" w:rsidRDefault="00BD43CE" w:rsidP="00BD43CE">
            <w:pPr>
              <w:pStyle w:val="ECoNormal"/>
              <w:spacing w:before="0" w:after="0"/>
              <w:rPr>
                <w:color w:val="231F20"/>
                <w:w w:val="90"/>
                <w:sz w:val="20"/>
                <w:szCs w:val="20"/>
                <w:lang w:val="en-GB"/>
              </w:rPr>
            </w:pPr>
          </w:p>
        </w:tc>
        <w:tc>
          <w:tcPr>
            <w:tcW w:w="631" w:type="pct"/>
            <w:vMerge/>
          </w:tcPr>
          <w:p w14:paraId="6E2A75E6" w14:textId="77777777" w:rsidR="00BD43CE" w:rsidRPr="005A3F27"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1214" w:type="pct"/>
          </w:tcPr>
          <w:p w14:paraId="6DF9EA38" w14:textId="77777777" w:rsidR="00BD43CE" w:rsidRPr="005A3F27"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Associated management, information systems and other technologies</w:t>
            </w:r>
          </w:p>
        </w:tc>
        <w:tc>
          <w:tcPr>
            <w:tcW w:w="1230" w:type="pct"/>
            <w:vMerge/>
          </w:tcPr>
          <w:p w14:paraId="279B5550" w14:textId="77777777" w:rsidR="00BD43CE" w:rsidRPr="005A3F27"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776" w:type="pct"/>
            <w:vMerge/>
          </w:tcPr>
          <w:p w14:paraId="0D24B85B" w14:textId="77777777" w:rsidR="00BD43CE" w:rsidRPr="005A3F27"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63" w:type="pct"/>
            <w:vMerge/>
          </w:tcPr>
          <w:p w14:paraId="54C129D0" w14:textId="77777777" w:rsidR="00BD43CE" w:rsidRPr="005A3F27"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BD43CE" w:rsidRPr="005A3F27" w14:paraId="00911366"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42C02C54" w14:textId="77777777" w:rsidR="00BD43CE" w:rsidRPr="005A3F27" w:rsidRDefault="00BD43CE" w:rsidP="00BD43CE">
            <w:pPr>
              <w:pStyle w:val="ECoNormal"/>
              <w:spacing w:before="0" w:after="0"/>
              <w:rPr>
                <w:color w:val="231F20"/>
                <w:w w:val="90"/>
                <w:sz w:val="20"/>
                <w:szCs w:val="20"/>
                <w:lang w:val="en-GB"/>
              </w:rPr>
            </w:pPr>
          </w:p>
        </w:tc>
        <w:tc>
          <w:tcPr>
            <w:tcW w:w="631" w:type="pct"/>
            <w:vMerge/>
          </w:tcPr>
          <w:p w14:paraId="61716F80" w14:textId="77777777" w:rsidR="00BD43CE" w:rsidRPr="005A3F27"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1214" w:type="pct"/>
          </w:tcPr>
          <w:p w14:paraId="57CF6B4C" w14:textId="77777777" w:rsidR="00BD43CE" w:rsidRPr="005A3F27"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Production facilities incorporating efficient pulping process, bio- refineries, use of recyclates</w:t>
            </w:r>
          </w:p>
        </w:tc>
        <w:tc>
          <w:tcPr>
            <w:tcW w:w="1230" w:type="pct"/>
            <w:vMerge/>
          </w:tcPr>
          <w:p w14:paraId="4B542EBB" w14:textId="77777777" w:rsidR="00BD43CE" w:rsidRPr="005A3F27"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776" w:type="pct"/>
            <w:vMerge/>
          </w:tcPr>
          <w:p w14:paraId="779199E4" w14:textId="77777777" w:rsidR="00BD43CE" w:rsidRPr="005A3F27"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63" w:type="pct"/>
            <w:vMerge/>
          </w:tcPr>
          <w:p w14:paraId="27C9B77E" w14:textId="77777777" w:rsidR="00BD43CE" w:rsidRPr="005A3F27"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D00014" w:rsidRPr="005A3F27" w14:paraId="508D58E2" w14:textId="77777777" w:rsidTr="00E230C4">
        <w:tc>
          <w:tcPr>
            <w:cnfStyle w:val="001000000000" w:firstRow="0" w:lastRow="0" w:firstColumn="1" w:lastColumn="0" w:oddVBand="0" w:evenVBand="0" w:oddHBand="0" w:evenHBand="0" w:firstRowFirstColumn="0" w:firstRowLastColumn="0" w:lastRowFirstColumn="0" w:lastRowLastColumn="0"/>
            <w:tcW w:w="686" w:type="pct"/>
            <w:vMerge w:val="restart"/>
          </w:tcPr>
          <w:p w14:paraId="58A1F37D" w14:textId="2499C53A" w:rsidR="00BD43CE" w:rsidRPr="005A3F27" w:rsidRDefault="00BD43CE" w:rsidP="00BD43CE">
            <w:pPr>
              <w:pStyle w:val="ECoNormal"/>
              <w:spacing w:before="0" w:after="0"/>
              <w:rPr>
                <w:sz w:val="20"/>
                <w:szCs w:val="20"/>
                <w:lang w:val="en-GB"/>
              </w:rPr>
            </w:pPr>
            <w:r w:rsidRPr="005A3F27">
              <w:rPr>
                <w:sz w:val="20"/>
                <w:szCs w:val="20"/>
                <w:lang w:val="en-GB"/>
              </w:rPr>
              <w:t>Supply chain assets management</w:t>
            </w:r>
          </w:p>
        </w:tc>
        <w:tc>
          <w:tcPr>
            <w:tcW w:w="631" w:type="pct"/>
            <w:vMerge w:val="restart"/>
          </w:tcPr>
          <w:p w14:paraId="5806EE88" w14:textId="77777777" w:rsidR="00BD43CE" w:rsidRPr="005A3F27"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Supply chain</w:t>
            </w:r>
          </w:p>
        </w:tc>
        <w:tc>
          <w:tcPr>
            <w:tcW w:w="1214" w:type="pct"/>
          </w:tcPr>
          <w:p w14:paraId="1CF9C0D5" w14:textId="77777777" w:rsidR="00BD43CE" w:rsidRPr="005A3F27"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Input supply systems for seed production, distribution and access</w:t>
            </w:r>
          </w:p>
        </w:tc>
        <w:tc>
          <w:tcPr>
            <w:tcW w:w="1230" w:type="pct"/>
          </w:tcPr>
          <w:p w14:paraId="346774A9" w14:textId="63B531B9" w:rsidR="00BD43CE" w:rsidRPr="005A3F27"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Facility is sustainabl</w:t>
            </w:r>
            <w:r>
              <w:rPr>
                <w:sz w:val="20"/>
                <w:szCs w:val="20"/>
                <w:lang w:val="en-GB"/>
              </w:rPr>
              <w:t>y</w:t>
            </w:r>
            <w:r w:rsidRPr="005A3F27">
              <w:rPr>
                <w:sz w:val="20"/>
                <w:szCs w:val="20"/>
                <w:lang w:val="en-GB"/>
              </w:rPr>
              <w:t xml:space="preserve"> managed and certified as such</w:t>
            </w:r>
          </w:p>
        </w:tc>
        <w:tc>
          <w:tcPr>
            <w:tcW w:w="776" w:type="pct"/>
          </w:tcPr>
          <w:p w14:paraId="7FF34398" w14:textId="77777777" w:rsidR="00BD43CE" w:rsidRPr="005A3F27"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63" w:type="pct"/>
          </w:tcPr>
          <w:p w14:paraId="32751402" w14:textId="77777777" w:rsidR="00BD43CE" w:rsidRPr="005A3F27"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D00014" w:rsidRPr="005A3F27" w14:paraId="56BFAA56"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5997ACDE" w14:textId="77777777" w:rsidR="00BD43CE" w:rsidRPr="005A3F27" w:rsidRDefault="00BD43CE" w:rsidP="00BD43CE">
            <w:pPr>
              <w:pStyle w:val="ECoNormal"/>
              <w:spacing w:before="0" w:after="0"/>
              <w:rPr>
                <w:color w:val="231F20"/>
                <w:spacing w:val="-2"/>
                <w:w w:val="90"/>
                <w:sz w:val="20"/>
                <w:szCs w:val="20"/>
                <w:lang w:val="en-GB"/>
              </w:rPr>
            </w:pPr>
          </w:p>
        </w:tc>
        <w:tc>
          <w:tcPr>
            <w:tcW w:w="631" w:type="pct"/>
            <w:vMerge/>
          </w:tcPr>
          <w:p w14:paraId="2ACFA787" w14:textId="77777777" w:rsidR="00BD43CE" w:rsidRPr="005A3F27"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1214" w:type="pct"/>
          </w:tcPr>
          <w:p w14:paraId="7B5AA893" w14:textId="77777777" w:rsidR="00BD43CE" w:rsidRPr="005A3F27"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Primary processing and storage facilities for eligible agricultural produce</w:t>
            </w:r>
          </w:p>
        </w:tc>
        <w:tc>
          <w:tcPr>
            <w:tcW w:w="1230" w:type="pct"/>
          </w:tcPr>
          <w:p w14:paraId="60021AFE" w14:textId="77777777" w:rsidR="00BD43CE" w:rsidRPr="005A3F27"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Eligible if agricultural produce complies with relevant Criteria</w:t>
            </w:r>
          </w:p>
        </w:tc>
        <w:tc>
          <w:tcPr>
            <w:tcW w:w="776" w:type="pct"/>
          </w:tcPr>
          <w:p w14:paraId="4BD26B66" w14:textId="77777777" w:rsidR="00BD43CE" w:rsidRPr="005A3F27"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63" w:type="pct"/>
          </w:tcPr>
          <w:p w14:paraId="626EFBD3" w14:textId="77777777" w:rsidR="00BD43CE" w:rsidRPr="005A3F27"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D00014" w:rsidRPr="005A3F27" w14:paraId="2DAC77D3"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11F69989" w14:textId="77777777" w:rsidR="00BD43CE" w:rsidRPr="005A3F27" w:rsidRDefault="00BD43CE" w:rsidP="00BD43CE">
            <w:pPr>
              <w:pStyle w:val="ECoNormal"/>
              <w:spacing w:before="0" w:after="0"/>
              <w:rPr>
                <w:color w:val="231F20"/>
                <w:spacing w:val="-2"/>
                <w:w w:val="90"/>
                <w:sz w:val="20"/>
                <w:szCs w:val="20"/>
                <w:lang w:val="en-GB"/>
              </w:rPr>
            </w:pPr>
          </w:p>
        </w:tc>
        <w:tc>
          <w:tcPr>
            <w:tcW w:w="631" w:type="pct"/>
            <w:vMerge/>
          </w:tcPr>
          <w:p w14:paraId="3C6CCCA6" w14:textId="77777777" w:rsidR="00BD43CE" w:rsidRPr="005A3F27"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1214" w:type="pct"/>
          </w:tcPr>
          <w:p w14:paraId="34F3D8C4" w14:textId="77777777" w:rsidR="00BD43CE" w:rsidRPr="005A3F27"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Primary processing and storage facilities for eligible forestry produce</w:t>
            </w:r>
          </w:p>
        </w:tc>
        <w:tc>
          <w:tcPr>
            <w:tcW w:w="1230" w:type="pct"/>
          </w:tcPr>
          <w:p w14:paraId="09CFB697" w14:textId="77777777" w:rsidR="00BD43CE" w:rsidRPr="005A3F27"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Eligible if forest produce complies with relevant Criteria</w:t>
            </w:r>
          </w:p>
        </w:tc>
        <w:tc>
          <w:tcPr>
            <w:tcW w:w="776" w:type="pct"/>
          </w:tcPr>
          <w:p w14:paraId="009C7B1A" w14:textId="77777777" w:rsidR="00BD43CE" w:rsidRPr="005A3F27"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63" w:type="pct"/>
          </w:tcPr>
          <w:p w14:paraId="0E2B496C" w14:textId="77777777" w:rsidR="00BD43CE" w:rsidRPr="005A3F27"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D00014" w:rsidRPr="005A3F27" w14:paraId="21E69F92"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4C7D927C" w14:textId="77777777" w:rsidR="00BD43CE" w:rsidRPr="005A3F27" w:rsidRDefault="00BD43CE" w:rsidP="00BD43CE">
            <w:pPr>
              <w:pStyle w:val="ECoNormal"/>
              <w:spacing w:before="0" w:after="0"/>
              <w:rPr>
                <w:color w:val="231F20"/>
                <w:spacing w:val="-2"/>
                <w:w w:val="90"/>
                <w:sz w:val="20"/>
                <w:szCs w:val="20"/>
                <w:lang w:val="en-GB"/>
              </w:rPr>
            </w:pPr>
          </w:p>
        </w:tc>
        <w:tc>
          <w:tcPr>
            <w:tcW w:w="631" w:type="pct"/>
            <w:vMerge/>
          </w:tcPr>
          <w:p w14:paraId="0869836B" w14:textId="77777777" w:rsidR="00BD43CE" w:rsidRPr="005A3F27"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color w:val="231F20"/>
                <w:w w:val="95"/>
                <w:sz w:val="20"/>
                <w:szCs w:val="20"/>
                <w:lang w:val="en-GB"/>
              </w:rPr>
            </w:pPr>
          </w:p>
        </w:tc>
        <w:tc>
          <w:tcPr>
            <w:tcW w:w="1214" w:type="pct"/>
          </w:tcPr>
          <w:p w14:paraId="52E34BEE" w14:textId="77777777" w:rsidR="00BD43CE" w:rsidRPr="005A3F27"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Primary processing facilities and storage for eligible fisheries and aquaculture activities</w:t>
            </w:r>
          </w:p>
        </w:tc>
        <w:tc>
          <w:tcPr>
            <w:tcW w:w="1230" w:type="pct"/>
          </w:tcPr>
          <w:p w14:paraId="74E4BBCE" w14:textId="77777777" w:rsidR="00BD43CE" w:rsidRPr="005A3F27"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5A3F27">
              <w:rPr>
                <w:sz w:val="20"/>
                <w:szCs w:val="20"/>
                <w:lang w:val="en-GB"/>
              </w:rPr>
              <w:t>Eligible if fish produce complies with relevant Criteria</w:t>
            </w:r>
          </w:p>
        </w:tc>
        <w:tc>
          <w:tcPr>
            <w:tcW w:w="776" w:type="pct"/>
          </w:tcPr>
          <w:p w14:paraId="0605BF95" w14:textId="77777777" w:rsidR="00BD43CE" w:rsidRPr="005A3F27"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63" w:type="pct"/>
          </w:tcPr>
          <w:p w14:paraId="2593606B" w14:textId="77777777" w:rsidR="00BD43CE" w:rsidRPr="005A3F27"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bl>
    <w:p w14:paraId="5D0E0B2D" w14:textId="2496C125" w:rsidR="00103BDB" w:rsidRPr="005A3F27" w:rsidRDefault="00103BDB" w:rsidP="00516617"/>
    <w:p w14:paraId="467C5B8B" w14:textId="750504E5" w:rsidR="00752126" w:rsidRPr="005A3F27" w:rsidRDefault="00752126" w:rsidP="00516617"/>
    <w:p w14:paraId="5C99C58B" w14:textId="123C452F" w:rsidR="00752126" w:rsidRPr="005A3F27" w:rsidRDefault="00752126" w:rsidP="00516617"/>
    <w:p w14:paraId="2D36CDD4" w14:textId="2A8308DF" w:rsidR="00752126" w:rsidRPr="005A3F27" w:rsidRDefault="00752126" w:rsidP="00516617"/>
    <w:p w14:paraId="7FF81818" w14:textId="6BC13CB0" w:rsidR="00752126" w:rsidRPr="005A3F27" w:rsidRDefault="00752126" w:rsidP="00516617"/>
    <w:p w14:paraId="6F422266" w14:textId="7F156F5A" w:rsidR="00752126" w:rsidRDefault="005A3F27" w:rsidP="005A3F27">
      <w:pPr>
        <w:pStyle w:val="Heading1"/>
        <w:numPr>
          <w:ilvl w:val="0"/>
          <w:numId w:val="0"/>
        </w:numPr>
      </w:pPr>
      <w:bookmarkStart w:id="76" w:name="_Toc109127523"/>
      <w:r>
        <w:t>Annex 3</w:t>
      </w:r>
      <w:r w:rsidR="00752126" w:rsidRPr="005A3F27">
        <w:t>: ICMA Eligible Green Projects categories</w:t>
      </w:r>
      <w:bookmarkEnd w:id="76"/>
      <w:r w:rsidR="00752126" w:rsidRPr="005A3F27">
        <w:t xml:space="preserve"> </w:t>
      </w:r>
    </w:p>
    <w:p w14:paraId="6562D3F1" w14:textId="6182CC7E" w:rsidR="00BD43CE" w:rsidRPr="00BD43CE" w:rsidRDefault="00BD43CE" w:rsidP="00BD43CE">
      <w:r>
        <w:t xml:space="preserve">For reference, below are the categories and eligible areas / categories for ICMA Eligible Green Projects. </w:t>
      </w:r>
    </w:p>
    <w:tbl>
      <w:tblPr>
        <w:tblStyle w:val="TableGrid"/>
        <w:tblW w:w="5000" w:type="pct"/>
        <w:tblLook w:val="04A0" w:firstRow="1" w:lastRow="0" w:firstColumn="1" w:lastColumn="0" w:noHBand="0" w:noVBand="1"/>
      </w:tblPr>
      <w:tblGrid>
        <w:gridCol w:w="4328"/>
        <w:gridCol w:w="9668"/>
      </w:tblGrid>
      <w:tr w:rsidR="004B006E" w:rsidRPr="005A3F27" w14:paraId="3CB2699A" w14:textId="77777777" w:rsidTr="005A3F27">
        <w:tc>
          <w:tcPr>
            <w:tcW w:w="1546" w:type="pct"/>
          </w:tcPr>
          <w:p w14:paraId="59ADF1D4" w14:textId="5D251294" w:rsidR="004B006E" w:rsidRPr="005A3F27" w:rsidRDefault="004B006E" w:rsidP="005A3F27">
            <w:pPr>
              <w:jc w:val="left"/>
              <w:rPr>
                <w:b/>
                <w:bCs/>
              </w:rPr>
            </w:pPr>
            <w:r w:rsidRPr="005A3F27">
              <w:rPr>
                <w:b/>
                <w:bCs/>
              </w:rPr>
              <w:t xml:space="preserve">Category </w:t>
            </w:r>
          </w:p>
        </w:tc>
        <w:tc>
          <w:tcPr>
            <w:tcW w:w="3454" w:type="pct"/>
          </w:tcPr>
          <w:p w14:paraId="01232797" w14:textId="038C4984" w:rsidR="004B006E" w:rsidRPr="005A3F27" w:rsidRDefault="004B006E" w:rsidP="005A3F27">
            <w:pPr>
              <w:jc w:val="left"/>
              <w:rPr>
                <w:b/>
                <w:bCs/>
              </w:rPr>
            </w:pPr>
            <w:r w:rsidRPr="005A3F27">
              <w:rPr>
                <w:b/>
                <w:bCs/>
              </w:rPr>
              <w:t>Eligible</w:t>
            </w:r>
            <w:r w:rsidR="004459B8" w:rsidRPr="005A3F27">
              <w:rPr>
                <w:b/>
                <w:bCs/>
              </w:rPr>
              <w:t xml:space="preserve"> Areas </w:t>
            </w:r>
          </w:p>
        </w:tc>
      </w:tr>
      <w:tr w:rsidR="004B006E" w:rsidRPr="005A3F27" w14:paraId="2D7811AC" w14:textId="77777777" w:rsidTr="005A3F27">
        <w:tc>
          <w:tcPr>
            <w:tcW w:w="1546" w:type="pct"/>
          </w:tcPr>
          <w:p w14:paraId="238A170F" w14:textId="67103079" w:rsidR="004B006E" w:rsidRPr="005A3F27" w:rsidRDefault="004459B8" w:rsidP="005A3F27">
            <w:pPr>
              <w:jc w:val="left"/>
              <w:rPr>
                <w:b/>
                <w:bCs/>
              </w:rPr>
            </w:pPr>
            <w:r w:rsidRPr="005A3F27">
              <w:t>Renewable Energy</w:t>
            </w:r>
          </w:p>
        </w:tc>
        <w:tc>
          <w:tcPr>
            <w:tcW w:w="3454" w:type="pct"/>
          </w:tcPr>
          <w:p w14:paraId="03A35ECA" w14:textId="20A5F81C" w:rsidR="004B006E" w:rsidRPr="005A3F27" w:rsidRDefault="004459B8" w:rsidP="005A3F27">
            <w:pPr>
              <w:jc w:val="left"/>
            </w:pPr>
            <w:r w:rsidRPr="005A3F27">
              <w:t>Production, Transmission, Appliances and Products</w:t>
            </w:r>
          </w:p>
        </w:tc>
      </w:tr>
      <w:tr w:rsidR="004459B8" w:rsidRPr="005A3F27" w14:paraId="29305D73" w14:textId="77777777" w:rsidTr="005A3F27">
        <w:tc>
          <w:tcPr>
            <w:tcW w:w="1546" w:type="pct"/>
          </w:tcPr>
          <w:p w14:paraId="1DE1E921" w14:textId="14F0845E" w:rsidR="004459B8" w:rsidRPr="005A3F27" w:rsidRDefault="004459B8" w:rsidP="005A3F27">
            <w:pPr>
              <w:jc w:val="left"/>
            </w:pPr>
            <w:r w:rsidRPr="005A3F27">
              <w:t>Energy Efficiency</w:t>
            </w:r>
          </w:p>
        </w:tc>
        <w:tc>
          <w:tcPr>
            <w:tcW w:w="3454" w:type="pct"/>
          </w:tcPr>
          <w:p w14:paraId="7EB963A3" w14:textId="3055EA6A" w:rsidR="004459B8" w:rsidRPr="005A3F27" w:rsidRDefault="004459B8" w:rsidP="005A3F27">
            <w:pPr>
              <w:jc w:val="left"/>
            </w:pPr>
            <w:r w:rsidRPr="005A3F27">
              <w:t>New and Refurbished Buildings, Energy Storage, District Heating, Smart Grids, Appliances and Products</w:t>
            </w:r>
          </w:p>
        </w:tc>
      </w:tr>
      <w:tr w:rsidR="004459B8" w:rsidRPr="005A3F27" w14:paraId="3AFADBB8" w14:textId="77777777" w:rsidTr="005A3F27">
        <w:tc>
          <w:tcPr>
            <w:tcW w:w="1546" w:type="pct"/>
          </w:tcPr>
          <w:p w14:paraId="64BA8D27" w14:textId="54DE20C5" w:rsidR="004459B8" w:rsidRPr="005A3F27" w:rsidRDefault="004459B8" w:rsidP="005A3F27">
            <w:pPr>
              <w:jc w:val="left"/>
            </w:pPr>
            <w:r w:rsidRPr="005A3F27">
              <w:lastRenderedPageBreak/>
              <w:t>Pollution Prevention and Control</w:t>
            </w:r>
          </w:p>
        </w:tc>
        <w:tc>
          <w:tcPr>
            <w:tcW w:w="3454" w:type="pct"/>
          </w:tcPr>
          <w:p w14:paraId="63C5EBFB" w14:textId="0AAB7D2B" w:rsidR="004459B8" w:rsidRPr="005A3F27" w:rsidRDefault="004459B8" w:rsidP="005A3F27">
            <w:pPr>
              <w:jc w:val="left"/>
            </w:pPr>
            <w:r w:rsidRPr="005A3F27">
              <w:t>Reduction of Air Emissions, Greenhouse Gas Control, Soil Remediation, Waste Prevention, Waste Reduction, Waste Recycling and Energy/ Emission-Efficient Waste to Energy</w:t>
            </w:r>
          </w:p>
        </w:tc>
      </w:tr>
      <w:tr w:rsidR="004459B8" w:rsidRPr="005A3F27" w14:paraId="1A5F13AC" w14:textId="77777777" w:rsidTr="005A3F27">
        <w:tc>
          <w:tcPr>
            <w:tcW w:w="1546" w:type="pct"/>
          </w:tcPr>
          <w:p w14:paraId="5084A759" w14:textId="735A461F" w:rsidR="004459B8" w:rsidRPr="005A3F27" w:rsidRDefault="004459B8" w:rsidP="005A3F27">
            <w:pPr>
              <w:jc w:val="left"/>
            </w:pPr>
            <w:r w:rsidRPr="005A3F27">
              <w:t>Environmentally Sustainable Management of Living Natural Resources and Land Use</w:t>
            </w:r>
          </w:p>
        </w:tc>
        <w:tc>
          <w:tcPr>
            <w:tcW w:w="3454" w:type="pct"/>
          </w:tcPr>
          <w:p w14:paraId="0C14F09B" w14:textId="3A1286E6" w:rsidR="004459B8" w:rsidRPr="005A3F27" w:rsidRDefault="004459B8" w:rsidP="005A3F27">
            <w:pPr>
              <w:jc w:val="left"/>
            </w:pPr>
            <w:r w:rsidRPr="005A3F27">
              <w:t>Environmentally Sustainable Agriculture; Environmentally Sustainable Animal Husbandry; Climate Smart Farm Inputs such as Biological Crop Protection or Drip-Irrigation; Environmentally Sustainable Fishery and Aquaculture; Environmentally Sustainable Forestry, Including Afforestation or Reforestation, and Preservation or Restoration of Natural Landscapes</w:t>
            </w:r>
          </w:p>
        </w:tc>
      </w:tr>
      <w:tr w:rsidR="004459B8" w:rsidRPr="005A3F27" w14:paraId="6DBD7635" w14:textId="77777777" w:rsidTr="005A3F27">
        <w:tc>
          <w:tcPr>
            <w:tcW w:w="1546" w:type="pct"/>
          </w:tcPr>
          <w:p w14:paraId="0451482C" w14:textId="3D499568" w:rsidR="004459B8" w:rsidRPr="005A3F27" w:rsidRDefault="004459B8" w:rsidP="005A3F27">
            <w:pPr>
              <w:jc w:val="left"/>
            </w:pPr>
            <w:r w:rsidRPr="005A3F27">
              <w:t>Terrestrial and Aquatic Biodiversity Conservation</w:t>
            </w:r>
          </w:p>
        </w:tc>
        <w:tc>
          <w:tcPr>
            <w:tcW w:w="3454" w:type="pct"/>
          </w:tcPr>
          <w:p w14:paraId="3D4A7D80" w14:textId="7E5CFDF0" w:rsidR="004459B8" w:rsidRPr="005A3F27" w:rsidRDefault="004459B8" w:rsidP="005A3F27">
            <w:pPr>
              <w:jc w:val="left"/>
            </w:pPr>
            <w:r w:rsidRPr="005A3F27">
              <w:t>Protection of Coastal, Marine and Watershed Environments</w:t>
            </w:r>
          </w:p>
        </w:tc>
      </w:tr>
      <w:tr w:rsidR="004459B8" w:rsidRPr="005A3F27" w14:paraId="3ED370E2" w14:textId="77777777" w:rsidTr="005A3F27">
        <w:tc>
          <w:tcPr>
            <w:tcW w:w="1546" w:type="pct"/>
          </w:tcPr>
          <w:p w14:paraId="70D217B4" w14:textId="607A6CBE" w:rsidR="004459B8" w:rsidRPr="005A3F27" w:rsidRDefault="004459B8" w:rsidP="005A3F27">
            <w:pPr>
              <w:jc w:val="left"/>
            </w:pPr>
            <w:r w:rsidRPr="005A3F27">
              <w:t xml:space="preserve">Clean Transportation </w:t>
            </w:r>
          </w:p>
        </w:tc>
        <w:tc>
          <w:tcPr>
            <w:tcW w:w="3454" w:type="pct"/>
          </w:tcPr>
          <w:p w14:paraId="46E4490E" w14:textId="125EC083" w:rsidR="004459B8" w:rsidRPr="005A3F27" w:rsidRDefault="004459B8" w:rsidP="005A3F27">
            <w:pPr>
              <w:jc w:val="left"/>
            </w:pPr>
            <w:r w:rsidRPr="005A3F27">
              <w:t>Electric, Hybrid, Public, Rail, Non-Motorised, Multi-Modal Transportation, Infrastructure for Clean Energy Vehicles and Reduction of Harmful Emission</w:t>
            </w:r>
          </w:p>
        </w:tc>
      </w:tr>
      <w:tr w:rsidR="004459B8" w:rsidRPr="005A3F27" w14:paraId="5F044BB0" w14:textId="77777777" w:rsidTr="005A3F27">
        <w:tc>
          <w:tcPr>
            <w:tcW w:w="1546" w:type="pct"/>
          </w:tcPr>
          <w:p w14:paraId="3897DE95" w14:textId="243D2647" w:rsidR="004459B8" w:rsidRPr="005A3F27" w:rsidRDefault="004459B8" w:rsidP="005A3F27">
            <w:pPr>
              <w:jc w:val="left"/>
            </w:pPr>
            <w:r w:rsidRPr="005A3F27">
              <w:t>Sustainable Water and Wastewater Management</w:t>
            </w:r>
          </w:p>
        </w:tc>
        <w:tc>
          <w:tcPr>
            <w:tcW w:w="3454" w:type="pct"/>
          </w:tcPr>
          <w:p w14:paraId="3542CECD" w14:textId="0EBD1694" w:rsidR="004459B8" w:rsidRPr="005A3F27" w:rsidRDefault="004459B8" w:rsidP="005A3F27">
            <w:pPr>
              <w:jc w:val="left"/>
            </w:pPr>
            <w:r w:rsidRPr="005A3F27">
              <w:t>Sustainable Infrastructure for Clean and/or Drinking Water, Wastewater Treatment, Sustainable Urban Drainage Systems and River Training and Other Forms of Flooding Mitigation</w:t>
            </w:r>
          </w:p>
        </w:tc>
      </w:tr>
      <w:tr w:rsidR="004459B8" w:rsidRPr="005A3F27" w14:paraId="684D09A5" w14:textId="77777777" w:rsidTr="005A3F27">
        <w:tc>
          <w:tcPr>
            <w:tcW w:w="1546" w:type="pct"/>
          </w:tcPr>
          <w:p w14:paraId="7307812A" w14:textId="411E8044" w:rsidR="004459B8" w:rsidRPr="005A3F27" w:rsidRDefault="004459B8" w:rsidP="005A3F27">
            <w:pPr>
              <w:jc w:val="left"/>
            </w:pPr>
            <w:r w:rsidRPr="005A3F27">
              <w:t>Climate Change Adaptation</w:t>
            </w:r>
          </w:p>
        </w:tc>
        <w:tc>
          <w:tcPr>
            <w:tcW w:w="3454" w:type="pct"/>
          </w:tcPr>
          <w:p w14:paraId="01F327DD" w14:textId="5D741C12" w:rsidR="004459B8" w:rsidRPr="005A3F27" w:rsidRDefault="004459B8" w:rsidP="005A3F27">
            <w:pPr>
              <w:jc w:val="left"/>
            </w:pPr>
            <w:r w:rsidRPr="005A3F27">
              <w:t>Efforts to Make Infrastructure More Resilient to Impacts of Climate Change, as well as Information Support Systems, such as Climate Observation and Early Warning Systems</w:t>
            </w:r>
          </w:p>
        </w:tc>
      </w:tr>
      <w:tr w:rsidR="004459B8" w:rsidRPr="005A3F27" w14:paraId="094CD84E" w14:textId="77777777" w:rsidTr="005A3F27">
        <w:tc>
          <w:tcPr>
            <w:tcW w:w="1546" w:type="pct"/>
          </w:tcPr>
          <w:p w14:paraId="6D597264" w14:textId="44109B38" w:rsidR="004459B8" w:rsidRPr="005A3F27" w:rsidRDefault="004459B8" w:rsidP="005A3F27">
            <w:pPr>
              <w:jc w:val="left"/>
            </w:pPr>
            <w:r w:rsidRPr="005A3F27">
              <w:t>Circular Economy Adapted Products, Production Technologies and Processes</w:t>
            </w:r>
          </w:p>
        </w:tc>
        <w:tc>
          <w:tcPr>
            <w:tcW w:w="3454" w:type="pct"/>
          </w:tcPr>
          <w:p w14:paraId="1B86468A" w14:textId="17BCB75E" w:rsidR="004459B8" w:rsidRPr="005A3F27" w:rsidRDefault="004459B8" w:rsidP="005A3F27">
            <w:pPr>
              <w:jc w:val="left"/>
            </w:pPr>
            <w:r w:rsidRPr="005A3F27">
              <w:t>The Design and Introduction of Reusable, Recyclable and Refurbished Materials, Components and Products; Circular Tools and Services); and/or Certified Eco-Efficient Products</w:t>
            </w:r>
          </w:p>
        </w:tc>
      </w:tr>
      <w:tr w:rsidR="004459B8" w:rsidRPr="005A3F27" w14:paraId="34959931" w14:textId="77777777" w:rsidTr="005A3F27">
        <w:tc>
          <w:tcPr>
            <w:tcW w:w="1546" w:type="pct"/>
          </w:tcPr>
          <w:p w14:paraId="4EC4AB0B" w14:textId="06C7717B" w:rsidR="004459B8" w:rsidRPr="005A3F27" w:rsidRDefault="001D5EFE" w:rsidP="005A3F27">
            <w:pPr>
              <w:jc w:val="left"/>
            </w:pPr>
            <w:r w:rsidRPr="005A3F27">
              <w:t>Green Buildings</w:t>
            </w:r>
          </w:p>
        </w:tc>
        <w:tc>
          <w:tcPr>
            <w:tcW w:w="3454" w:type="pct"/>
          </w:tcPr>
          <w:p w14:paraId="69E295B1" w14:textId="2ED7AF83" w:rsidR="004459B8" w:rsidRPr="005A3F27" w:rsidRDefault="004459B8" w:rsidP="005A3F27">
            <w:pPr>
              <w:jc w:val="left"/>
            </w:pPr>
            <w:r w:rsidRPr="005A3F27">
              <w:t xml:space="preserve">Buildings that meet Regional, National </w:t>
            </w:r>
            <w:r w:rsidR="001D5EFE" w:rsidRPr="005A3F27">
              <w:t>o</w:t>
            </w:r>
            <w:r w:rsidRPr="005A3F27">
              <w:t xml:space="preserve">r Internationally Recognised Standards </w:t>
            </w:r>
            <w:r w:rsidR="001D5EFE" w:rsidRPr="005A3F27">
              <w:t>o</w:t>
            </w:r>
            <w:r w:rsidRPr="005A3F27">
              <w:t xml:space="preserve">r Certifications </w:t>
            </w:r>
            <w:r w:rsidR="001D5EFE" w:rsidRPr="005A3F27">
              <w:t>f</w:t>
            </w:r>
            <w:r w:rsidRPr="005A3F27">
              <w:t>or Environmental Performance</w:t>
            </w:r>
          </w:p>
        </w:tc>
      </w:tr>
    </w:tbl>
    <w:p w14:paraId="21A17653" w14:textId="77777777" w:rsidR="00C660D9" w:rsidRPr="005A3F27" w:rsidRDefault="00C660D9" w:rsidP="00516617"/>
    <w:sectPr w:rsidR="00C660D9" w:rsidRPr="005A3F27" w:rsidSect="00E230C4">
      <w:pgSz w:w="16840" w:h="11900"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0E59F" w14:textId="77777777" w:rsidR="00957B3D" w:rsidRDefault="00957B3D" w:rsidP="00042BA8">
      <w:r>
        <w:separator/>
      </w:r>
    </w:p>
    <w:p w14:paraId="6BE5C38D" w14:textId="77777777" w:rsidR="00957B3D" w:rsidRDefault="00957B3D"/>
    <w:p w14:paraId="688BDA4D" w14:textId="77777777" w:rsidR="00957B3D" w:rsidRDefault="00957B3D"/>
    <w:p w14:paraId="5842B355" w14:textId="77777777" w:rsidR="00957B3D" w:rsidRDefault="00957B3D"/>
    <w:p w14:paraId="11E6AB48" w14:textId="77777777" w:rsidR="00957B3D" w:rsidRDefault="00957B3D"/>
  </w:endnote>
  <w:endnote w:type="continuationSeparator" w:id="0">
    <w:p w14:paraId="6268188D" w14:textId="77777777" w:rsidR="00957B3D" w:rsidRDefault="00957B3D" w:rsidP="00042BA8">
      <w:r>
        <w:continuationSeparator/>
      </w:r>
    </w:p>
    <w:p w14:paraId="4E82C4E5" w14:textId="77777777" w:rsidR="00957B3D" w:rsidRDefault="00957B3D"/>
    <w:p w14:paraId="09C85FB5" w14:textId="77777777" w:rsidR="00957B3D" w:rsidRDefault="00957B3D"/>
    <w:p w14:paraId="670C6669" w14:textId="77777777" w:rsidR="00957B3D" w:rsidRDefault="00957B3D"/>
    <w:p w14:paraId="61C1CB2B" w14:textId="77777777" w:rsidR="00957B3D" w:rsidRDefault="00957B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72678620"/>
      <w:docPartObj>
        <w:docPartGallery w:val="Page Numbers (Bottom of Page)"/>
        <w:docPartUnique/>
      </w:docPartObj>
    </w:sdtPr>
    <w:sdtContent>
      <w:p w14:paraId="53D6C60A" w14:textId="31D016CC" w:rsidR="001A5B49" w:rsidRDefault="001A5B49" w:rsidP="003F3A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219825" w14:textId="77777777" w:rsidR="001A5B49" w:rsidRDefault="001A5B49" w:rsidP="001A5B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01F42" w14:textId="77777777" w:rsidR="000A17D3" w:rsidRPr="00B21C76" w:rsidRDefault="000A17D3" w:rsidP="000A17D3">
    <w:pPr>
      <w:pStyle w:val="Footer"/>
      <w:framePr w:wrap="around" w:vAnchor="text" w:hAnchor="margin" w:xAlign="right" w:y="1"/>
      <w:pBdr>
        <w:top w:val="single" w:sz="12" w:space="10" w:color="4B7083"/>
        <w:between w:val="single" w:sz="4" w:space="0" w:color="auto"/>
      </w:pBdr>
      <w:spacing w:before="0"/>
      <w:rPr>
        <w:rStyle w:val="PageNumber"/>
        <w:color w:val="4B7083"/>
      </w:rPr>
    </w:pPr>
    <w:r w:rsidRPr="00B21C76">
      <w:rPr>
        <w:rStyle w:val="PageNumber"/>
        <w:color w:val="4B7083"/>
      </w:rPr>
      <w:fldChar w:fldCharType="begin"/>
    </w:r>
    <w:r w:rsidRPr="00B21C76">
      <w:rPr>
        <w:rStyle w:val="PageNumber"/>
        <w:color w:val="4B7083"/>
      </w:rPr>
      <w:instrText xml:space="preserve">PAGE  </w:instrText>
    </w:r>
    <w:r w:rsidRPr="00B21C76">
      <w:rPr>
        <w:rStyle w:val="PageNumber"/>
        <w:color w:val="4B7083"/>
      </w:rPr>
      <w:fldChar w:fldCharType="separate"/>
    </w:r>
    <w:r>
      <w:rPr>
        <w:rStyle w:val="PageNumber"/>
        <w:color w:val="4B7083"/>
      </w:rPr>
      <w:t>2</w:t>
    </w:r>
    <w:r w:rsidRPr="00B21C76">
      <w:rPr>
        <w:rStyle w:val="PageNumber"/>
        <w:color w:val="4B7083"/>
      </w:rPr>
      <w:fldChar w:fldCharType="end"/>
    </w:r>
  </w:p>
  <w:p w14:paraId="0EA5F3E3" w14:textId="79BFFE6A" w:rsidR="00FD33D9" w:rsidRPr="000A17D3" w:rsidRDefault="000A17D3" w:rsidP="000A17D3">
    <w:pPr>
      <w:pStyle w:val="Footer"/>
      <w:pBdr>
        <w:top w:val="single" w:sz="12" w:space="10" w:color="4B7083"/>
        <w:between w:val="single" w:sz="4" w:space="0" w:color="auto"/>
      </w:pBdr>
      <w:tabs>
        <w:tab w:val="clear" w:pos="8640"/>
        <w:tab w:val="left" w:pos="4320"/>
      </w:tabs>
      <w:spacing w:before="0" w:after="0"/>
      <w:rPr>
        <w:color w:val="4B7083"/>
      </w:rPr>
    </w:pPr>
    <w:r w:rsidRPr="00B21C76">
      <w:rPr>
        <w:noProof/>
        <w:color w:val="4B7083"/>
      </w:rPr>
      <w:t xml:space="preserve">E Co. Ltd </w:t>
    </w:r>
    <w:r w:rsidRPr="00B21C76">
      <w:rPr>
        <w:noProof/>
        <w:color w:val="4B7083"/>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9E0F1" w14:textId="510F1420" w:rsidR="003F196A" w:rsidRPr="00B21C76" w:rsidRDefault="003F196A" w:rsidP="00B21C76">
    <w:pPr>
      <w:pStyle w:val="Footer"/>
      <w:framePr w:wrap="around" w:vAnchor="text" w:hAnchor="margin" w:xAlign="right" w:y="1"/>
      <w:pBdr>
        <w:top w:val="single" w:sz="12" w:space="10" w:color="4B7083"/>
        <w:between w:val="single" w:sz="4" w:space="0" w:color="auto"/>
      </w:pBdr>
      <w:spacing w:before="0"/>
      <w:rPr>
        <w:rStyle w:val="PageNumber"/>
        <w:color w:val="4B7083"/>
      </w:rPr>
    </w:pPr>
    <w:r w:rsidRPr="00B21C76">
      <w:rPr>
        <w:rStyle w:val="PageNumber"/>
        <w:color w:val="4B7083"/>
      </w:rPr>
      <w:fldChar w:fldCharType="begin"/>
    </w:r>
    <w:r w:rsidRPr="00B21C76">
      <w:rPr>
        <w:rStyle w:val="PageNumber"/>
        <w:color w:val="4B7083"/>
      </w:rPr>
      <w:instrText xml:space="preserve">PAGE  </w:instrText>
    </w:r>
    <w:r w:rsidRPr="00B21C76">
      <w:rPr>
        <w:rStyle w:val="PageNumber"/>
        <w:color w:val="4B7083"/>
      </w:rPr>
      <w:fldChar w:fldCharType="separate"/>
    </w:r>
    <w:r w:rsidR="00A42C69">
      <w:rPr>
        <w:rStyle w:val="PageNumber"/>
        <w:noProof/>
        <w:color w:val="4B7083"/>
      </w:rPr>
      <w:t>4</w:t>
    </w:r>
    <w:r w:rsidRPr="00B21C76">
      <w:rPr>
        <w:rStyle w:val="PageNumber"/>
        <w:color w:val="4B7083"/>
      </w:rPr>
      <w:fldChar w:fldCharType="end"/>
    </w:r>
  </w:p>
  <w:p w14:paraId="7FB81D8B" w14:textId="21992B37" w:rsidR="00024CE3" w:rsidRPr="00103BDB" w:rsidRDefault="00024CE3" w:rsidP="00103BDB">
    <w:pPr>
      <w:pStyle w:val="Footer"/>
      <w:pBdr>
        <w:top w:val="single" w:sz="12" w:space="10" w:color="4B7083"/>
        <w:between w:val="single" w:sz="4" w:space="0" w:color="auto"/>
      </w:pBdr>
      <w:tabs>
        <w:tab w:val="clear" w:pos="8640"/>
        <w:tab w:val="left" w:pos="4320"/>
      </w:tabs>
      <w:rPr>
        <w:color w:val="4B708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9122B" w14:textId="77777777" w:rsidR="003F196A" w:rsidRPr="00B21C76" w:rsidRDefault="003F196A" w:rsidP="00B21C76">
    <w:pPr>
      <w:pStyle w:val="Footer"/>
      <w:framePr w:wrap="around" w:vAnchor="text" w:hAnchor="margin" w:xAlign="right" w:y="1"/>
      <w:pBdr>
        <w:top w:val="single" w:sz="12" w:space="10" w:color="4B7083"/>
        <w:between w:val="single" w:sz="4" w:space="0" w:color="auto"/>
      </w:pBdr>
      <w:spacing w:before="0"/>
      <w:rPr>
        <w:rStyle w:val="PageNumber"/>
        <w:color w:val="4B7083"/>
      </w:rPr>
    </w:pPr>
    <w:r w:rsidRPr="00B21C76">
      <w:rPr>
        <w:rStyle w:val="PageNumber"/>
        <w:color w:val="4B7083"/>
      </w:rPr>
      <w:fldChar w:fldCharType="begin"/>
    </w:r>
    <w:r w:rsidRPr="00B21C76">
      <w:rPr>
        <w:rStyle w:val="PageNumber"/>
        <w:color w:val="4B7083"/>
      </w:rPr>
      <w:instrText xml:space="preserve">PAGE  </w:instrText>
    </w:r>
    <w:r w:rsidRPr="00B21C76">
      <w:rPr>
        <w:rStyle w:val="PageNumber"/>
        <w:color w:val="4B7083"/>
      </w:rPr>
      <w:fldChar w:fldCharType="separate"/>
    </w:r>
    <w:r w:rsidR="00A42C69">
      <w:rPr>
        <w:rStyle w:val="PageNumber"/>
        <w:noProof/>
        <w:color w:val="4B7083"/>
      </w:rPr>
      <w:t>4</w:t>
    </w:r>
    <w:r w:rsidRPr="00B21C76">
      <w:rPr>
        <w:rStyle w:val="PageNumber"/>
        <w:color w:val="4B7083"/>
      </w:rPr>
      <w:fldChar w:fldCharType="end"/>
    </w:r>
  </w:p>
  <w:p w14:paraId="156AFA7A" w14:textId="77777777" w:rsidR="00024CE3" w:rsidRPr="00103BDB" w:rsidRDefault="00024CE3" w:rsidP="00103BDB">
    <w:pPr>
      <w:pStyle w:val="Footer"/>
      <w:pBdr>
        <w:top w:val="single" w:sz="12" w:space="10" w:color="4B7083"/>
        <w:between w:val="single" w:sz="4" w:space="0" w:color="auto"/>
      </w:pBdr>
      <w:tabs>
        <w:tab w:val="clear" w:pos="8640"/>
        <w:tab w:val="left" w:pos="4320"/>
      </w:tabs>
      <w:rPr>
        <w:color w:val="4B708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46909" w14:textId="77777777" w:rsidR="00957B3D" w:rsidRPr="004D113F" w:rsidRDefault="00957B3D" w:rsidP="004D113F">
      <w:pPr>
        <w:pStyle w:val="Footer"/>
        <w:pBdr>
          <w:bottom w:val="single" w:sz="4" w:space="1" w:color="929292"/>
        </w:pBdr>
        <w:rPr>
          <w:sz w:val="2"/>
        </w:rPr>
      </w:pPr>
    </w:p>
  </w:footnote>
  <w:footnote w:type="continuationSeparator" w:id="0">
    <w:p w14:paraId="5086D67C" w14:textId="77777777" w:rsidR="00957B3D" w:rsidRDefault="00957B3D" w:rsidP="00042BA8">
      <w:r>
        <w:continuationSeparator/>
      </w:r>
    </w:p>
    <w:p w14:paraId="5FDF3161" w14:textId="77777777" w:rsidR="00957B3D" w:rsidRDefault="00957B3D"/>
    <w:p w14:paraId="10764A61" w14:textId="77777777" w:rsidR="00957B3D" w:rsidRDefault="00957B3D"/>
    <w:p w14:paraId="2510338C" w14:textId="77777777" w:rsidR="00957B3D" w:rsidRDefault="00957B3D"/>
    <w:p w14:paraId="79964032" w14:textId="77777777" w:rsidR="00957B3D" w:rsidRDefault="00957B3D"/>
  </w:footnote>
  <w:footnote w:id="1">
    <w:p w14:paraId="34886165" w14:textId="52048DB3" w:rsidR="00F54F32" w:rsidRPr="00E779BF" w:rsidRDefault="00F54F32">
      <w:pPr>
        <w:pStyle w:val="FootnoteText"/>
        <w:rPr>
          <w:lang w:val="fr-FR"/>
        </w:rPr>
      </w:pPr>
      <w:r>
        <w:rPr>
          <w:rStyle w:val="FootnoteReference"/>
        </w:rPr>
        <w:footnoteRef/>
      </w:r>
      <w:r>
        <w:rPr>
          <w:rStyle w:val="FootnoteReference"/>
        </w:rPr>
        <w:footnoteRef/>
      </w:r>
      <w:r>
        <w:t xml:space="preserve"> </w:t>
      </w:r>
      <w:hyperlink r:id="rId1" w:history="1">
        <w:r w:rsidR="000A17D3" w:rsidRPr="00491279">
          <w:rPr>
            <w:rStyle w:val="Hyperlink"/>
          </w:rPr>
          <w:t>https://www.lma.eu.com/about-us</w:t>
        </w:r>
      </w:hyperlink>
      <w:r w:rsidR="000A17D3">
        <w:t xml:space="preserve"> </w:t>
      </w:r>
    </w:p>
  </w:footnote>
  <w:footnote w:id="2">
    <w:p w14:paraId="356D2075" w14:textId="03BC6234" w:rsidR="00EA31E4" w:rsidRPr="003C1DEC" w:rsidRDefault="00EA31E4" w:rsidP="00EA31E4">
      <w:pPr>
        <w:pStyle w:val="FootnoteText"/>
        <w:rPr>
          <w:lang w:val="fr-FR"/>
        </w:rPr>
      </w:pPr>
      <w:r>
        <w:rPr>
          <w:rStyle w:val="FootnoteReference"/>
        </w:rPr>
        <w:footnoteRef/>
      </w:r>
      <w:r w:rsidRPr="003C1DEC">
        <w:rPr>
          <w:lang w:val="fr-FR"/>
        </w:rPr>
        <w:t xml:space="preserve"> https://www.ebrd.com/news/2019/worlds-first-dedicated-climate-resilience-bond-for-us-700m-is-issued-by-ebrd-.html</w:t>
      </w:r>
    </w:p>
  </w:footnote>
  <w:footnote w:id="3">
    <w:p w14:paraId="0AB5891E" w14:textId="77777777" w:rsidR="00B40058" w:rsidRPr="003C1DEC" w:rsidRDefault="00B40058" w:rsidP="005A3F27">
      <w:pPr>
        <w:pStyle w:val="FootnoteText"/>
        <w:jc w:val="left"/>
        <w:rPr>
          <w:lang w:val="fr-FR"/>
        </w:rPr>
      </w:pPr>
      <w:r>
        <w:rPr>
          <w:rStyle w:val="FootnoteReference"/>
        </w:rPr>
        <w:footnoteRef/>
      </w:r>
      <w:r w:rsidRPr="003C1DEC">
        <w:rPr>
          <w:lang w:val="fr-FR"/>
        </w:rPr>
        <w:t xml:space="preserve"> https://www.icmagroup.org/sustainable-finance/the-principles-guidelines-and-handbooks/green-bond-principles-gbp/</w:t>
      </w:r>
    </w:p>
  </w:footnote>
  <w:footnote w:id="4">
    <w:p w14:paraId="24146320" w14:textId="6D0739B5" w:rsidR="00FD33D9" w:rsidRPr="003C1DEC" w:rsidRDefault="00FD33D9">
      <w:pPr>
        <w:pStyle w:val="FootnoteText"/>
        <w:rPr>
          <w:lang w:val="fr-FR"/>
        </w:rPr>
      </w:pPr>
      <w:r>
        <w:rPr>
          <w:rStyle w:val="FootnoteReference"/>
        </w:rPr>
        <w:footnoteRef/>
      </w:r>
      <w:r w:rsidRPr="003C1DEC">
        <w:rPr>
          <w:lang w:val="fr-FR"/>
        </w:rPr>
        <w:t xml:space="preserve"> </w:t>
      </w:r>
      <w:hyperlink r:id="rId2" w:history="1">
        <w:r w:rsidR="00E473E5" w:rsidRPr="00306FAF">
          <w:rPr>
            <w:rStyle w:val="Hyperlink"/>
            <w:lang w:val="fr-FR"/>
          </w:rPr>
          <w:t>https://www.idfc.org/wp-content/uploads/2019/12/idfc_report_final-2.pdf</w:t>
        </w:r>
      </w:hyperlink>
      <w:r w:rsidRPr="003C1DEC">
        <w:rPr>
          <w:lang w:val="fr-FR"/>
        </w:rPr>
        <w:t xml:space="preserve"> </w:t>
      </w:r>
    </w:p>
  </w:footnote>
  <w:footnote w:id="5">
    <w:p w14:paraId="7F941C17" w14:textId="650153B8" w:rsidR="0052138C" w:rsidRDefault="0052138C">
      <w:pPr>
        <w:pStyle w:val="FootnoteText"/>
      </w:pPr>
      <w:r>
        <w:rPr>
          <w:rStyle w:val="FootnoteReference"/>
        </w:rPr>
        <w:footnoteRef/>
      </w:r>
      <w:r>
        <w:t xml:space="preserve"> The Energy Performance Criteria for various building types in Armenia is defined in</w:t>
      </w:r>
      <w:r w:rsidR="00885AD7">
        <w:t xml:space="preserve"> various laws and sub-laws including the </w:t>
      </w:r>
      <w:r w:rsidR="00885AD7" w:rsidRPr="00885AD7">
        <w:t>Law of the Republic of Armenia “On Energy Saving and Renewable Energy Sources” No. 67-N dated May 12, 2016.</w:t>
      </w:r>
      <w:r>
        <w:t xml:space="preserve"> </w:t>
      </w:r>
    </w:p>
  </w:footnote>
  <w:footnote w:id="6">
    <w:p w14:paraId="7CAA17A4" w14:textId="3F8D4EA5" w:rsidR="00FC1774" w:rsidRPr="00FC1774" w:rsidRDefault="00FC1774">
      <w:pPr>
        <w:pStyle w:val="FootnoteText"/>
      </w:pPr>
      <w:r>
        <w:rPr>
          <w:rStyle w:val="FootnoteReference"/>
        </w:rPr>
        <w:footnoteRef/>
      </w:r>
      <w:r>
        <w:t xml:space="preserve"> </w:t>
      </w:r>
      <w:r>
        <w:rPr>
          <w:szCs w:val="20"/>
        </w:rPr>
        <w:t xml:space="preserve">The specific water use (measured in m3/yr) of the Sub-project reflecting conditions before the improvements considered under the Sub-project are implemented. The Sub-project boundaries are defined by the scope of investments. </w:t>
      </w:r>
      <w:r>
        <w:t xml:space="preserve"> </w:t>
      </w:r>
    </w:p>
  </w:footnote>
  <w:footnote w:id="7">
    <w:p w14:paraId="24A1F7A6" w14:textId="3B9A0583" w:rsidR="00A80421" w:rsidRPr="00A80421" w:rsidRDefault="00A80421" w:rsidP="00AB1921">
      <w:pPr>
        <w:pStyle w:val="FootnoteText"/>
        <w:jc w:val="left"/>
      </w:pPr>
      <w:r>
        <w:rPr>
          <w:rStyle w:val="FootnoteReference"/>
        </w:rPr>
        <w:footnoteRef/>
      </w:r>
      <w:r>
        <w:t xml:space="preserve"> </w:t>
      </w:r>
      <w:r w:rsidR="00225209">
        <w:t>Social and Environmental Risk Management Guide</w:t>
      </w:r>
      <w:r w:rsidR="00DB7AE1">
        <w:t xml:space="preserve"> (</w:t>
      </w:r>
      <w:r w:rsidR="006D56FB">
        <w:t>ARMSWISSBANK</w:t>
      </w:r>
      <w:r w:rsidR="00DB7AE1">
        <w:t xml:space="preserve">) </w:t>
      </w:r>
      <w:hyperlink r:id="rId3" w:history="1">
        <w:r w:rsidR="00225209" w:rsidRPr="000C0FF6">
          <w:rPr>
            <w:rStyle w:val="Hyperlink"/>
          </w:rPr>
          <w:t>https://www.armswissbank.am/upload/social&amp;environmental_risk_management_guide_eng.pdf</w:t>
        </w:r>
      </w:hyperlink>
      <w:r w:rsidR="00225209">
        <w:t xml:space="preserve"> </w:t>
      </w:r>
    </w:p>
  </w:footnote>
  <w:footnote w:id="8">
    <w:p w14:paraId="3730E20F" w14:textId="4BED1916" w:rsidR="00740002" w:rsidRDefault="00740002">
      <w:pPr>
        <w:pStyle w:val="FootnoteText"/>
      </w:pPr>
      <w:r>
        <w:rPr>
          <w:rStyle w:val="FootnoteReference"/>
        </w:rPr>
        <w:footnoteRef/>
      </w:r>
      <w:r>
        <w:t xml:space="preserve"> Forced labour means any work or service performed on an involuntary basis, which is carried out by coercion or threat of punishment </w:t>
      </w:r>
    </w:p>
  </w:footnote>
  <w:footnote w:id="9">
    <w:p w14:paraId="2248F368" w14:textId="300EB678" w:rsidR="00740002" w:rsidRDefault="00740002">
      <w:pPr>
        <w:pStyle w:val="FootnoteText"/>
      </w:pPr>
      <w:r>
        <w:rPr>
          <w:rStyle w:val="FootnoteReference"/>
        </w:rPr>
        <w:footnoteRef/>
      </w:r>
      <w:r>
        <w:t xml:space="preserve"> Hazardous work means the use of a child labour force that is economically exploitative, or likely to be hazardous, impedes a child's education, is harmful to the health of the child, or to physical, psychological, spiritual, moral or social development</w:t>
      </w:r>
    </w:p>
  </w:footnote>
  <w:footnote w:id="10">
    <w:p w14:paraId="3606C9F9" w14:textId="63FA101E" w:rsidR="00740002" w:rsidRDefault="00740002">
      <w:pPr>
        <w:pStyle w:val="FootnoteText"/>
      </w:pPr>
      <w:r>
        <w:rPr>
          <w:rStyle w:val="FootnoteReference"/>
        </w:rPr>
        <w:footnoteRef/>
      </w:r>
      <w:r>
        <w:t xml:space="preserve"> Convention on International Trade in the areas endangering Flora and Fauna  </w:t>
      </w:r>
    </w:p>
  </w:footnote>
  <w:footnote w:id="11">
    <w:p w14:paraId="43C8C467" w14:textId="1A110EE3" w:rsidR="00740002" w:rsidRDefault="00740002">
      <w:pPr>
        <w:pStyle w:val="FootnoteText"/>
      </w:pPr>
      <w:r>
        <w:rPr>
          <w:rStyle w:val="FootnoteReference"/>
        </w:rPr>
        <w:footnoteRef/>
      </w:r>
      <w:r>
        <w:t xml:space="preserve"> This does not apply to the acquisition of medical, quality control and other equipment that, according to IFC, have little and/or comparatively protected radioactivity  </w:t>
      </w:r>
    </w:p>
  </w:footnote>
  <w:footnote w:id="12">
    <w:p w14:paraId="2F67F7F1" w14:textId="05A9FF2B" w:rsidR="00740002" w:rsidRDefault="00740002">
      <w:pPr>
        <w:pStyle w:val="FootnoteText"/>
      </w:pPr>
      <w:r>
        <w:rPr>
          <w:rStyle w:val="FootnoteReference"/>
        </w:rPr>
        <w:footnoteRef/>
      </w:r>
      <w:r>
        <w:t xml:space="preserve"> This does not apply to the purchase and use of associated asbestos cement coatings with an asbestos content of less than 20%  </w:t>
      </w:r>
    </w:p>
  </w:footnote>
  <w:footnote w:id="13">
    <w:p w14:paraId="1952EA20" w14:textId="35519B03" w:rsidR="00740002" w:rsidRDefault="00740002">
      <w:pPr>
        <w:pStyle w:val="FootnoteText"/>
      </w:pPr>
      <w:r>
        <w:rPr>
          <w:rStyle w:val="FootnoteReference"/>
        </w:rPr>
        <w:footnoteRef/>
      </w:r>
      <w:r>
        <w:t xml:space="preserve"> Polychlorinated biphenyls are a group of highly toxic chemicals that have been most commonly found in petroleum electrical transformers, capacitors (condensers) and switchgear since 1950-1985</w:t>
      </w:r>
    </w:p>
  </w:footnote>
  <w:footnote w:id="14">
    <w:p w14:paraId="315FFD19" w14:textId="77D58BB1" w:rsidR="00740002" w:rsidRDefault="00740002">
      <w:pPr>
        <w:pStyle w:val="FootnoteText"/>
      </w:pPr>
      <w:r>
        <w:rPr>
          <w:rStyle w:val="FootnoteReference"/>
        </w:rPr>
        <w:footnoteRef/>
      </w:r>
      <w:r>
        <w:t xml:space="preserve"> Dangerous chemicals include gasoline, kerosene and other petroleum products</w:t>
      </w:r>
    </w:p>
  </w:footnote>
  <w:footnote w:id="15">
    <w:p w14:paraId="1C860ECB" w14:textId="6C628260" w:rsidR="00740002" w:rsidRDefault="00740002">
      <w:pPr>
        <w:pStyle w:val="FootnoteText"/>
      </w:pPr>
      <w:r>
        <w:rPr>
          <w:rStyle w:val="FootnoteReference"/>
        </w:rPr>
        <w:footnoteRef/>
      </w:r>
      <w:r>
        <w:t xml:space="preserve"> </w:t>
      </w:r>
      <w:r w:rsidRPr="00740002">
        <w:t>Ozone Depleting Substances (ODS) are chemicals that react with and deactivate stratospheric ozone causing ozone layer holes; The Montreal Protocol lists ODSs and the days of their targeted reductions and gradual redemptions; A list of chemical compounds controlled by the Montreal Protocol, including aerosols, refrigerants, foam blowing agents, solvents and fire protection tools, as well as details on the contract signatory countries and the target days of gradual redemption are available in the Environment and Social Development section</w:t>
      </w:r>
    </w:p>
  </w:footnote>
  <w:footnote w:id="16">
    <w:p w14:paraId="2717B1AE" w14:textId="30FC7F10" w:rsidR="00740002" w:rsidRDefault="00740002">
      <w:pPr>
        <w:pStyle w:val="FootnoteText"/>
      </w:pPr>
      <w:r>
        <w:rPr>
          <w:rStyle w:val="FootnoteReference"/>
        </w:rPr>
        <w:footnoteRef/>
      </w:r>
      <w:r>
        <w:t xml:space="preserve"> </w:t>
      </w:r>
      <w:r w:rsidRPr="00740002">
        <w:t>The impact of a production or activity is considered to be “significant” if 200 or more persons are subject to physical displacement or lose more than 10 percent of their productive assets</w:t>
      </w:r>
    </w:p>
  </w:footnote>
  <w:footnote w:id="17">
    <w:p w14:paraId="16D95AE3" w14:textId="2658C477" w:rsidR="005B0835" w:rsidRPr="005B0835" w:rsidRDefault="005B0835">
      <w:pPr>
        <w:pStyle w:val="FootnoteText"/>
      </w:pPr>
      <w:r>
        <w:rPr>
          <w:rStyle w:val="FootnoteReference"/>
        </w:rPr>
        <w:footnoteRef/>
      </w:r>
      <w:r>
        <w:t xml:space="preserve"> </w:t>
      </w:r>
      <w:hyperlink r:id="rId4" w:history="1">
        <w:r w:rsidRPr="000C0FF6">
          <w:rPr>
            <w:rStyle w:val="Hyperlink"/>
          </w:rPr>
          <w:t>https://www.armswissbank.am/upload/social&amp;environmental_risk_management_guide_eng.pdf</w:t>
        </w:r>
      </w:hyperlink>
      <w:r>
        <w:rPr>
          <w:rStyle w:val="Hyperlink"/>
        </w:rPr>
        <w:t xml:space="preserve"> </w:t>
      </w:r>
    </w:p>
  </w:footnote>
  <w:footnote w:id="18">
    <w:p w14:paraId="12CB34F0" w14:textId="77777777" w:rsidR="009861AE" w:rsidRPr="009861AE" w:rsidRDefault="009861AE" w:rsidP="009861AE">
      <w:pPr>
        <w:pStyle w:val="FootnoteText"/>
      </w:pPr>
      <w:r>
        <w:rPr>
          <w:rStyle w:val="FootnoteReference"/>
        </w:rPr>
        <w:footnoteRef/>
      </w:r>
      <w:r w:rsidRPr="009861AE">
        <w:t xml:space="preserve"> </w:t>
      </w:r>
      <w:hyperlink r:id="rId5" w:history="1">
        <w:r w:rsidRPr="009861AE">
          <w:rPr>
            <w:rStyle w:val="Hyperlink"/>
          </w:rPr>
          <w:t>https://staff.am/en/company/hh-kentronakan-bank</w:t>
        </w:r>
      </w:hyperlink>
      <w:r w:rsidRPr="009861AE">
        <w:t xml:space="preserve"> </w:t>
      </w:r>
    </w:p>
  </w:footnote>
  <w:footnote w:id="19">
    <w:p w14:paraId="475D45FA" w14:textId="77777777" w:rsidR="009861AE" w:rsidRPr="00F71952" w:rsidRDefault="009861AE" w:rsidP="009861AE">
      <w:pPr>
        <w:pStyle w:val="FootnoteText"/>
        <w:rPr>
          <w:lang w:val="en-US"/>
        </w:rPr>
      </w:pPr>
      <w:r>
        <w:rPr>
          <w:rStyle w:val="FootnoteReference"/>
        </w:rPr>
        <w:footnoteRef/>
      </w:r>
      <w:r w:rsidRPr="00F71952">
        <w:rPr>
          <w:lang w:val="en-US"/>
        </w:rPr>
        <w:t xml:space="preserve"> </w:t>
      </w:r>
      <w:r w:rsidRPr="00636DDD">
        <w:t xml:space="preserve">Assessment of Investment </w:t>
      </w:r>
      <w:r w:rsidRPr="009861AE">
        <w:t>Needs</w:t>
      </w:r>
      <w:r w:rsidRPr="00636DDD">
        <w:t xml:space="preserve"> for Climate Action in Armenia up to 2030</w:t>
      </w:r>
      <w:r>
        <w:t>, OECD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color w:val="4B7083"/>
      </w:rPr>
      <w:alias w:val="Title"/>
      <w:tag w:val=""/>
      <w:id w:val="177944812"/>
      <w:placeholder>
        <w:docPart w:val="D2EF1E13FD04453ABE70A09AD75A7EF9"/>
      </w:placeholder>
      <w:dataBinding w:prefixMappings="xmlns:ns0='http://purl.org/dc/elements/1.1/' xmlns:ns1='http://schemas.openxmlformats.org/package/2006/metadata/core-properties' " w:xpath="/ns1:coreProperties[1]/ns0:title[1]" w:storeItemID="{6C3C8BC8-F283-45AE-878A-BAB7291924A1}"/>
      <w:text/>
    </w:sdtPr>
    <w:sdtContent>
      <w:p w14:paraId="3353C69E" w14:textId="6E52F758" w:rsidR="001A5B49" w:rsidRPr="000C3A41" w:rsidRDefault="004973A8" w:rsidP="000C3A41">
        <w:pPr>
          <w:pStyle w:val="Header"/>
          <w:pBdr>
            <w:bottom w:val="single" w:sz="12" w:space="1" w:color="4B7083"/>
          </w:pBdr>
          <w:tabs>
            <w:tab w:val="clear" w:pos="4320"/>
            <w:tab w:val="clear" w:pos="8640"/>
          </w:tabs>
          <w:rPr>
            <w:b/>
            <w:bCs/>
            <w:color w:val="4B7083"/>
          </w:rPr>
        </w:pPr>
        <w:r>
          <w:rPr>
            <w:b/>
            <w:bCs/>
            <w:color w:val="4B7083"/>
          </w:rPr>
          <w:t>Green bond framework - ARMSWISSBANK- Draft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C7F9B" w14:textId="716A4982" w:rsidR="00673045" w:rsidRDefault="000C3A41">
    <w:pPr>
      <w:pStyle w:val="Header"/>
    </w:pPr>
    <w:r>
      <w:rPr>
        <w:noProof/>
      </w:rPr>
      <w:drawing>
        <wp:anchor distT="0" distB="0" distL="114300" distR="114300" simplePos="0" relativeHeight="251664384" behindDoc="1" locked="0" layoutInCell="1" allowOverlap="1" wp14:anchorId="0CF06DDD" wp14:editId="5BF6CF76">
          <wp:simplePos x="0" y="0"/>
          <wp:positionH relativeFrom="margin">
            <wp:align>right</wp:align>
          </wp:positionH>
          <wp:positionV relativeFrom="paragraph">
            <wp:posOffset>572135</wp:posOffset>
          </wp:positionV>
          <wp:extent cx="1714500" cy="734695"/>
          <wp:effectExtent l="0" t="0" r="0" b="8255"/>
          <wp:wrapTight wrapText="bothSides">
            <wp:wrapPolygon edited="0">
              <wp:start x="0" y="0"/>
              <wp:lineTo x="0" y="21283"/>
              <wp:lineTo x="21360" y="21283"/>
              <wp:lineTo x="21360" y="0"/>
              <wp:lineTo x="0" y="0"/>
            </wp:wrapPolygon>
          </wp:wrapTight>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734695"/>
                  </a:xfrm>
                  <a:prstGeom prst="rect">
                    <a:avLst/>
                  </a:prstGeom>
                  <a:noFill/>
                  <a:ln>
                    <a:noFill/>
                  </a:ln>
                </pic:spPr>
              </pic:pic>
            </a:graphicData>
          </a:graphic>
        </wp:anchor>
      </w:drawing>
    </w:r>
    <w:r w:rsidRPr="00CB7439">
      <w:rPr>
        <w:noProof/>
      </w:rPr>
      <w:drawing>
        <wp:anchor distT="0" distB="0" distL="114300" distR="114300" simplePos="0" relativeHeight="251665408" behindDoc="1" locked="0" layoutInCell="1" allowOverlap="1" wp14:anchorId="43B4B0C8" wp14:editId="2F25037C">
          <wp:simplePos x="0" y="0"/>
          <wp:positionH relativeFrom="margin">
            <wp:align>center</wp:align>
          </wp:positionH>
          <wp:positionV relativeFrom="paragraph">
            <wp:posOffset>475615</wp:posOffset>
          </wp:positionV>
          <wp:extent cx="1109980" cy="915670"/>
          <wp:effectExtent l="0" t="0" r="0" b="0"/>
          <wp:wrapTight wrapText="bothSides">
            <wp:wrapPolygon edited="0">
              <wp:start x="0" y="0"/>
              <wp:lineTo x="0" y="21121"/>
              <wp:lineTo x="21130" y="21121"/>
              <wp:lineTo x="21130" y="0"/>
              <wp:lineTo x="0" y="0"/>
            </wp:wrapPolygon>
          </wp:wrapTight>
          <wp:docPr id="7" name="Picture 7" descr="A screenshot of a computer&#10;&#10;Description automatically generated with medium confidence">
            <a:extLst xmlns:a="http://schemas.openxmlformats.org/drawingml/2006/main">
              <a:ext uri="{FF2B5EF4-FFF2-40B4-BE49-F238E27FC236}">
                <a16:creationId xmlns:a16="http://schemas.microsoft.com/office/drawing/2014/main" id="{84D177F9-F896-4080-99D6-3B2745BC75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descr="A screenshot of a computer&#10;&#10;Description automatically generated with medium confidence">
                    <a:extLst>
                      <a:ext uri="{FF2B5EF4-FFF2-40B4-BE49-F238E27FC236}">
                        <a16:creationId xmlns:a16="http://schemas.microsoft.com/office/drawing/2014/main" id="{84D177F9-F896-4080-99D6-3B2745BC758F}"/>
                      </a:ext>
                    </a:extLst>
                  </pic:cNvPr>
                  <pic:cNvPicPr>
                    <a:picLocks noChangeAspect="1"/>
                  </pic:cNvPicPr>
                </pic:nvPicPr>
                <pic:blipFill rotWithShape="1">
                  <a:blip r:embed="rId2" cstate="print">
                    <a:alphaModFix/>
                    <a:extLst>
                      <a:ext uri="{28A0092B-C50C-407E-A947-70E740481C1C}">
                        <a14:useLocalDpi xmlns:a14="http://schemas.microsoft.com/office/drawing/2010/main" val="0"/>
                      </a:ext>
                    </a:extLst>
                  </a:blip>
                  <a:srcRect l="8548" t="63802" r="71348" b="24471"/>
                  <a:stretch/>
                </pic:blipFill>
                <pic:spPr bwMode="auto">
                  <a:xfrm>
                    <a:off x="0" y="0"/>
                    <a:ext cx="1109980" cy="915670"/>
                  </a:xfrm>
                  <a:prstGeom prst="rect">
                    <a:avLst/>
                  </a:prstGeom>
                  <a:ln>
                    <a:noFill/>
                  </a:ln>
                  <a:extLst>
                    <a:ext uri="{53640926-AAD7-44D8-BBD7-CCE9431645EC}">
                      <a14:shadowObscured xmlns:a14="http://schemas.microsoft.com/office/drawing/2010/main"/>
                    </a:ext>
                    <a:ext uri="{FAA26D3D-D897-4be2-8F04-BA451C77F1D7}">
                      <ma14:placeholderFlag xmlns:p="http://schemas.openxmlformats.org/presentationml/2006/main"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lc="http://schemas.openxmlformats.org/drawingml/2006/lockedCanvas"/>
                    </a:ext>
                  </a:extLst>
                </pic:spPr>
              </pic:pic>
            </a:graphicData>
          </a:graphic>
        </wp:anchor>
      </w:drawing>
    </w:r>
    <w:r>
      <w:rPr>
        <w:noProof/>
        <w:lang w:val="en-US"/>
      </w:rPr>
      <w:drawing>
        <wp:anchor distT="0" distB="0" distL="114300" distR="114300" simplePos="0" relativeHeight="251663360" behindDoc="1" locked="0" layoutInCell="1" allowOverlap="1" wp14:anchorId="1C9F1175" wp14:editId="32507E97">
          <wp:simplePos x="0" y="0"/>
          <wp:positionH relativeFrom="column">
            <wp:posOffset>-581025</wp:posOffset>
          </wp:positionH>
          <wp:positionV relativeFrom="paragraph">
            <wp:posOffset>19685</wp:posOffset>
          </wp:positionV>
          <wp:extent cx="7527925" cy="10017760"/>
          <wp:effectExtent l="25400" t="0" r="0" b="0"/>
          <wp:wrapNone/>
          <wp:docPr id="8" name="Picture 8" descr="Macintosh HD:Users:gergelytomasovszky:Personal:WORK:_ACTIVE_CLIENTS:ECO_Jasper:CI:Stationery:Templates:Source:letterhead-blank-no-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ergelytomasovszky:Personal:WORK:_ACTIVE_CLIENTS:ECO_Jasper:CI:Stationery:Templates:Source:letterhead-blank-no-text.png"/>
                  <pic:cNvPicPr>
                    <a:picLocks noChangeAspect="1" noChangeArrowheads="1"/>
                  </pic:cNvPicPr>
                </pic:nvPicPr>
                <pic:blipFill>
                  <a:blip r:embed="rId3">
                    <a:extLst>
                      <a:ext uri="{28A0092B-C50C-407E-A947-70E740481C1C}">
                        <a14:useLocalDpi xmlns:a14="http://schemas.microsoft.com/office/drawing/2010/main" val="0"/>
                      </a:ext>
                    </a:extLst>
                  </a:blip>
                  <a:srcRect t="2277" b="3606"/>
                  <a:stretch>
                    <a:fillRect/>
                  </a:stretch>
                </pic:blipFill>
                <pic:spPr bwMode="auto">
                  <a:xfrm>
                    <a:off x="0" y="0"/>
                    <a:ext cx="7527925" cy="1001776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0432C" w14:textId="77777777" w:rsidR="003F196A" w:rsidRDefault="003F196A"/>
  <w:p w14:paraId="18FB3D32" w14:textId="77777777" w:rsidR="00155FF2" w:rsidRDefault="00155FF2"/>
  <w:p w14:paraId="6BDD9CA9" w14:textId="77777777" w:rsidR="00155FF2" w:rsidRDefault="00155FF2"/>
  <w:p w14:paraId="31DF7787" w14:textId="77777777" w:rsidR="00024CE3" w:rsidRDefault="00024CE3"/>
  <w:p w14:paraId="14F8B4D4" w14:textId="77777777" w:rsidR="00024CE3" w:rsidRDefault="00024CE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A78EC" w14:textId="77777777" w:rsidR="003F196A" w:rsidRDefault="003F196A"/>
  <w:p w14:paraId="1ABDD0ED" w14:textId="77777777" w:rsidR="00155FF2" w:rsidRDefault="00155FF2"/>
  <w:p w14:paraId="7F04C9BE" w14:textId="77777777" w:rsidR="00155FF2" w:rsidRDefault="00155FF2"/>
  <w:p w14:paraId="75BC8052" w14:textId="77777777" w:rsidR="00024CE3" w:rsidRDefault="00024CE3"/>
  <w:p w14:paraId="5B93C532" w14:textId="77777777" w:rsidR="00024CE3" w:rsidRDefault="00024CE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135E"/>
    <w:multiLevelType w:val="multilevel"/>
    <w:tmpl w:val="014E55F2"/>
    <w:lvl w:ilvl="0">
      <w:start w:val="1"/>
      <w:numFmt w:val="decimal"/>
      <w:pStyle w:val="Heading1"/>
      <w:suff w:val="space"/>
      <w:lvlText w:val="%1."/>
      <w:lvlJc w:val="left"/>
      <w:pPr>
        <w:ind w:left="0" w:firstLine="0"/>
      </w:pPr>
      <w:rPr>
        <w:rFonts w:ascii="Trebuchet MS" w:hAnsi="Trebuchet MS" w:hint="default"/>
        <w:b/>
        <w:i w:val="0"/>
        <w:sz w:val="32"/>
        <w:szCs w:val="21"/>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lowerLetter"/>
      <w:suff w:val="space"/>
      <w:lvlText w:val="%4)"/>
      <w:lvlJc w:val="left"/>
      <w:pPr>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0E92BF1"/>
    <w:multiLevelType w:val="hybridMultilevel"/>
    <w:tmpl w:val="E648E598"/>
    <w:lvl w:ilvl="0" w:tplc="0409000B">
      <w:start w:val="1"/>
      <w:numFmt w:val="bullet"/>
      <w:lvlText w:val=""/>
      <w:lvlJc w:val="left"/>
      <w:pPr>
        <w:ind w:left="1467" w:hanging="360"/>
      </w:pPr>
      <w:rPr>
        <w:rFonts w:ascii="Wingdings" w:hAnsi="Wingdings" w:hint="default"/>
      </w:rPr>
    </w:lvl>
    <w:lvl w:ilvl="1" w:tplc="04090003" w:tentative="1">
      <w:start w:val="1"/>
      <w:numFmt w:val="bullet"/>
      <w:lvlText w:val="o"/>
      <w:lvlJc w:val="left"/>
      <w:pPr>
        <w:ind w:left="2187" w:hanging="360"/>
      </w:pPr>
      <w:rPr>
        <w:rFonts w:ascii="Courier New" w:hAnsi="Courier New" w:cs="Courier New" w:hint="default"/>
      </w:rPr>
    </w:lvl>
    <w:lvl w:ilvl="2" w:tplc="04090005" w:tentative="1">
      <w:start w:val="1"/>
      <w:numFmt w:val="bullet"/>
      <w:lvlText w:val=""/>
      <w:lvlJc w:val="left"/>
      <w:pPr>
        <w:ind w:left="2907" w:hanging="360"/>
      </w:pPr>
      <w:rPr>
        <w:rFonts w:ascii="Wingdings" w:hAnsi="Wingdings" w:hint="default"/>
      </w:rPr>
    </w:lvl>
    <w:lvl w:ilvl="3" w:tplc="04090001" w:tentative="1">
      <w:start w:val="1"/>
      <w:numFmt w:val="bullet"/>
      <w:lvlText w:val=""/>
      <w:lvlJc w:val="left"/>
      <w:pPr>
        <w:ind w:left="3627" w:hanging="360"/>
      </w:pPr>
      <w:rPr>
        <w:rFonts w:ascii="Symbol" w:hAnsi="Symbol" w:hint="default"/>
      </w:rPr>
    </w:lvl>
    <w:lvl w:ilvl="4" w:tplc="04090003" w:tentative="1">
      <w:start w:val="1"/>
      <w:numFmt w:val="bullet"/>
      <w:lvlText w:val="o"/>
      <w:lvlJc w:val="left"/>
      <w:pPr>
        <w:ind w:left="4347" w:hanging="360"/>
      </w:pPr>
      <w:rPr>
        <w:rFonts w:ascii="Courier New" w:hAnsi="Courier New" w:cs="Courier New" w:hint="default"/>
      </w:rPr>
    </w:lvl>
    <w:lvl w:ilvl="5" w:tplc="04090005" w:tentative="1">
      <w:start w:val="1"/>
      <w:numFmt w:val="bullet"/>
      <w:lvlText w:val=""/>
      <w:lvlJc w:val="left"/>
      <w:pPr>
        <w:ind w:left="5067" w:hanging="360"/>
      </w:pPr>
      <w:rPr>
        <w:rFonts w:ascii="Wingdings" w:hAnsi="Wingdings" w:hint="default"/>
      </w:rPr>
    </w:lvl>
    <w:lvl w:ilvl="6" w:tplc="04090001" w:tentative="1">
      <w:start w:val="1"/>
      <w:numFmt w:val="bullet"/>
      <w:lvlText w:val=""/>
      <w:lvlJc w:val="left"/>
      <w:pPr>
        <w:ind w:left="5787" w:hanging="360"/>
      </w:pPr>
      <w:rPr>
        <w:rFonts w:ascii="Symbol" w:hAnsi="Symbol" w:hint="default"/>
      </w:rPr>
    </w:lvl>
    <w:lvl w:ilvl="7" w:tplc="04090003" w:tentative="1">
      <w:start w:val="1"/>
      <w:numFmt w:val="bullet"/>
      <w:lvlText w:val="o"/>
      <w:lvlJc w:val="left"/>
      <w:pPr>
        <w:ind w:left="6507" w:hanging="360"/>
      </w:pPr>
      <w:rPr>
        <w:rFonts w:ascii="Courier New" w:hAnsi="Courier New" w:cs="Courier New" w:hint="default"/>
      </w:rPr>
    </w:lvl>
    <w:lvl w:ilvl="8" w:tplc="04090005" w:tentative="1">
      <w:start w:val="1"/>
      <w:numFmt w:val="bullet"/>
      <w:lvlText w:val=""/>
      <w:lvlJc w:val="left"/>
      <w:pPr>
        <w:ind w:left="7227" w:hanging="360"/>
      </w:pPr>
      <w:rPr>
        <w:rFonts w:ascii="Wingdings" w:hAnsi="Wingdings" w:hint="default"/>
      </w:rPr>
    </w:lvl>
  </w:abstractNum>
  <w:abstractNum w:abstractNumId="2" w15:restartNumberingAfterBreak="0">
    <w:nsid w:val="07212A18"/>
    <w:multiLevelType w:val="hybridMultilevel"/>
    <w:tmpl w:val="A8C29E66"/>
    <w:lvl w:ilvl="0" w:tplc="0646E6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CC7805"/>
    <w:multiLevelType w:val="hybridMultilevel"/>
    <w:tmpl w:val="4FB68B9A"/>
    <w:lvl w:ilvl="0" w:tplc="040C0017">
      <w:start w:val="1"/>
      <w:numFmt w:val="lowerLetter"/>
      <w:lvlText w:val="%1)"/>
      <w:lvlJc w:val="left"/>
      <w:pPr>
        <w:ind w:left="1443" w:hanging="360"/>
      </w:pPr>
      <w:rPr>
        <w:rFonts w:hint="default"/>
        <w:color w:val="497083"/>
      </w:rPr>
    </w:lvl>
    <w:lvl w:ilvl="1" w:tplc="FFFFFFFF">
      <w:start w:val="1"/>
      <w:numFmt w:val="bullet"/>
      <w:lvlText w:val="o"/>
      <w:lvlJc w:val="left"/>
      <w:pPr>
        <w:ind w:left="1443" w:hanging="360"/>
      </w:pPr>
      <w:rPr>
        <w:rFonts w:ascii="Courier New" w:hAnsi="Courier New" w:hint="default"/>
      </w:rPr>
    </w:lvl>
    <w:lvl w:ilvl="2" w:tplc="FFFFFFFF">
      <w:start w:val="1"/>
      <w:numFmt w:val="bullet"/>
      <w:lvlText w:val=""/>
      <w:lvlJc w:val="left"/>
      <w:pPr>
        <w:ind w:left="2163" w:hanging="360"/>
      </w:pPr>
      <w:rPr>
        <w:rFonts w:ascii="Wingdings" w:hAnsi="Wingdings" w:hint="default"/>
      </w:rPr>
    </w:lvl>
    <w:lvl w:ilvl="3" w:tplc="FFFFFFFF" w:tentative="1">
      <w:start w:val="1"/>
      <w:numFmt w:val="bullet"/>
      <w:lvlText w:val=""/>
      <w:lvlJc w:val="left"/>
      <w:pPr>
        <w:ind w:left="2883" w:hanging="360"/>
      </w:pPr>
      <w:rPr>
        <w:rFonts w:ascii="Symbol" w:hAnsi="Symbol" w:hint="default"/>
      </w:rPr>
    </w:lvl>
    <w:lvl w:ilvl="4" w:tplc="FFFFFFFF" w:tentative="1">
      <w:start w:val="1"/>
      <w:numFmt w:val="bullet"/>
      <w:lvlText w:val="o"/>
      <w:lvlJc w:val="left"/>
      <w:pPr>
        <w:ind w:left="3603" w:hanging="360"/>
      </w:pPr>
      <w:rPr>
        <w:rFonts w:ascii="Courier New" w:hAnsi="Courier New" w:hint="default"/>
      </w:rPr>
    </w:lvl>
    <w:lvl w:ilvl="5" w:tplc="FFFFFFFF" w:tentative="1">
      <w:start w:val="1"/>
      <w:numFmt w:val="bullet"/>
      <w:lvlText w:val=""/>
      <w:lvlJc w:val="left"/>
      <w:pPr>
        <w:ind w:left="4323" w:hanging="360"/>
      </w:pPr>
      <w:rPr>
        <w:rFonts w:ascii="Wingdings" w:hAnsi="Wingdings" w:hint="default"/>
      </w:rPr>
    </w:lvl>
    <w:lvl w:ilvl="6" w:tplc="FFFFFFFF" w:tentative="1">
      <w:start w:val="1"/>
      <w:numFmt w:val="bullet"/>
      <w:lvlText w:val=""/>
      <w:lvlJc w:val="left"/>
      <w:pPr>
        <w:ind w:left="5043" w:hanging="360"/>
      </w:pPr>
      <w:rPr>
        <w:rFonts w:ascii="Symbol" w:hAnsi="Symbol" w:hint="default"/>
      </w:rPr>
    </w:lvl>
    <w:lvl w:ilvl="7" w:tplc="FFFFFFFF" w:tentative="1">
      <w:start w:val="1"/>
      <w:numFmt w:val="bullet"/>
      <w:lvlText w:val="o"/>
      <w:lvlJc w:val="left"/>
      <w:pPr>
        <w:ind w:left="5763" w:hanging="360"/>
      </w:pPr>
      <w:rPr>
        <w:rFonts w:ascii="Courier New" w:hAnsi="Courier New" w:hint="default"/>
      </w:rPr>
    </w:lvl>
    <w:lvl w:ilvl="8" w:tplc="FFFFFFFF" w:tentative="1">
      <w:start w:val="1"/>
      <w:numFmt w:val="bullet"/>
      <w:lvlText w:val=""/>
      <w:lvlJc w:val="left"/>
      <w:pPr>
        <w:ind w:left="6483" w:hanging="360"/>
      </w:pPr>
      <w:rPr>
        <w:rFonts w:ascii="Wingdings" w:hAnsi="Wingdings" w:hint="default"/>
      </w:rPr>
    </w:lvl>
  </w:abstractNum>
  <w:abstractNum w:abstractNumId="4" w15:restartNumberingAfterBreak="0">
    <w:nsid w:val="0FC93B35"/>
    <w:multiLevelType w:val="hybridMultilevel"/>
    <w:tmpl w:val="0A629826"/>
    <w:lvl w:ilvl="0" w:tplc="9990B0E6">
      <w:start w:val="1"/>
      <w:numFmt w:val="bullet"/>
      <w:pStyle w:val="ListParagraph"/>
      <w:lvlText w:val=""/>
      <w:lvlJc w:val="left"/>
      <w:pPr>
        <w:ind w:left="1443" w:hanging="360"/>
      </w:pPr>
      <w:rPr>
        <w:rFonts w:ascii="Wingdings" w:hAnsi="Wingdings" w:hint="default"/>
        <w:color w:val="497083"/>
      </w:rPr>
    </w:lvl>
    <w:lvl w:ilvl="1" w:tplc="04090003">
      <w:start w:val="1"/>
      <w:numFmt w:val="bullet"/>
      <w:lvlText w:val="o"/>
      <w:lvlJc w:val="left"/>
      <w:pPr>
        <w:ind w:left="1443" w:hanging="360"/>
      </w:pPr>
      <w:rPr>
        <w:rFonts w:ascii="Courier New" w:hAnsi="Courier New" w:hint="default"/>
      </w:rPr>
    </w:lvl>
    <w:lvl w:ilvl="2" w:tplc="04090005">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5" w15:restartNumberingAfterBreak="0">
    <w:nsid w:val="1C646037"/>
    <w:multiLevelType w:val="hybridMultilevel"/>
    <w:tmpl w:val="BC56D9EA"/>
    <w:lvl w:ilvl="0" w:tplc="11BA7FD6">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F733F7"/>
    <w:multiLevelType w:val="multilevel"/>
    <w:tmpl w:val="7D2C9E78"/>
    <w:numStyleLink w:val="listbullets"/>
  </w:abstractNum>
  <w:abstractNum w:abstractNumId="7" w15:restartNumberingAfterBreak="0">
    <w:nsid w:val="2EDC591E"/>
    <w:multiLevelType w:val="hybridMultilevel"/>
    <w:tmpl w:val="3588FD28"/>
    <w:lvl w:ilvl="0" w:tplc="140C000B">
      <w:start w:val="1"/>
      <w:numFmt w:val="bullet"/>
      <w:lvlText w:val=""/>
      <w:lvlJc w:val="left"/>
      <w:pPr>
        <w:ind w:left="1199" w:hanging="360"/>
      </w:pPr>
      <w:rPr>
        <w:rFonts w:ascii="Wingdings" w:hAnsi="Wingdings" w:hint="default"/>
      </w:rPr>
    </w:lvl>
    <w:lvl w:ilvl="1" w:tplc="140C0003">
      <w:start w:val="1"/>
      <w:numFmt w:val="bullet"/>
      <w:lvlText w:val="o"/>
      <w:lvlJc w:val="left"/>
      <w:pPr>
        <w:ind w:left="1919" w:hanging="360"/>
      </w:pPr>
      <w:rPr>
        <w:rFonts w:ascii="Courier New" w:hAnsi="Courier New" w:cs="Courier New" w:hint="default"/>
      </w:rPr>
    </w:lvl>
    <w:lvl w:ilvl="2" w:tplc="140C0005">
      <w:start w:val="1"/>
      <w:numFmt w:val="bullet"/>
      <w:lvlText w:val=""/>
      <w:lvlJc w:val="left"/>
      <w:pPr>
        <w:ind w:left="2639" w:hanging="360"/>
      </w:pPr>
      <w:rPr>
        <w:rFonts w:ascii="Wingdings" w:hAnsi="Wingdings" w:hint="default"/>
      </w:rPr>
    </w:lvl>
    <w:lvl w:ilvl="3" w:tplc="140C0001">
      <w:start w:val="1"/>
      <w:numFmt w:val="bullet"/>
      <w:lvlText w:val=""/>
      <w:lvlJc w:val="left"/>
      <w:pPr>
        <w:ind w:left="3359" w:hanging="360"/>
      </w:pPr>
      <w:rPr>
        <w:rFonts w:ascii="Symbol" w:hAnsi="Symbol" w:hint="default"/>
      </w:rPr>
    </w:lvl>
    <w:lvl w:ilvl="4" w:tplc="140C0003">
      <w:start w:val="1"/>
      <w:numFmt w:val="bullet"/>
      <w:lvlText w:val="o"/>
      <w:lvlJc w:val="left"/>
      <w:pPr>
        <w:ind w:left="4079" w:hanging="360"/>
      </w:pPr>
      <w:rPr>
        <w:rFonts w:ascii="Courier New" w:hAnsi="Courier New" w:cs="Courier New" w:hint="default"/>
      </w:rPr>
    </w:lvl>
    <w:lvl w:ilvl="5" w:tplc="140C0005" w:tentative="1">
      <w:start w:val="1"/>
      <w:numFmt w:val="bullet"/>
      <w:lvlText w:val=""/>
      <w:lvlJc w:val="left"/>
      <w:pPr>
        <w:ind w:left="4799" w:hanging="360"/>
      </w:pPr>
      <w:rPr>
        <w:rFonts w:ascii="Wingdings" w:hAnsi="Wingdings" w:hint="default"/>
      </w:rPr>
    </w:lvl>
    <w:lvl w:ilvl="6" w:tplc="140C0001" w:tentative="1">
      <w:start w:val="1"/>
      <w:numFmt w:val="bullet"/>
      <w:lvlText w:val=""/>
      <w:lvlJc w:val="left"/>
      <w:pPr>
        <w:ind w:left="5519" w:hanging="360"/>
      </w:pPr>
      <w:rPr>
        <w:rFonts w:ascii="Symbol" w:hAnsi="Symbol" w:hint="default"/>
      </w:rPr>
    </w:lvl>
    <w:lvl w:ilvl="7" w:tplc="140C0003" w:tentative="1">
      <w:start w:val="1"/>
      <w:numFmt w:val="bullet"/>
      <w:lvlText w:val="o"/>
      <w:lvlJc w:val="left"/>
      <w:pPr>
        <w:ind w:left="6239" w:hanging="360"/>
      </w:pPr>
      <w:rPr>
        <w:rFonts w:ascii="Courier New" w:hAnsi="Courier New" w:cs="Courier New" w:hint="default"/>
      </w:rPr>
    </w:lvl>
    <w:lvl w:ilvl="8" w:tplc="140C0005" w:tentative="1">
      <w:start w:val="1"/>
      <w:numFmt w:val="bullet"/>
      <w:lvlText w:val=""/>
      <w:lvlJc w:val="left"/>
      <w:pPr>
        <w:ind w:left="6959" w:hanging="360"/>
      </w:pPr>
      <w:rPr>
        <w:rFonts w:ascii="Wingdings" w:hAnsi="Wingdings" w:hint="default"/>
      </w:rPr>
    </w:lvl>
  </w:abstractNum>
  <w:abstractNum w:abstractNumId="8" w15:restartNumberingAfterBreak="0">
    <w:nsid w:val="31EB54B6"/>
    <w:multiLevelType w:val="hybridMultilevel"/>
    <w:tmpl w:val="0C38FB9E"/>
    <w:lvl w:ilvl="0" w:tplc="140C000B">
      <w:start w:val="1"/>
      <w:numFmt w:val="bullet"/>
      <w:lvlText w:val=""/>
      <w:lvlJc w:val="left"/>
      <w:pPr>
        <w:ind w:left="720" w:hanging="360"/>
      </w:pPr>
      <w:rPr>
        <w:rFonts w:ascii="Wingdings" w:hAnsi="Wingdings"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9" w15:restartNumberingAfterBreak="0">
    <w:nsid w:val="3B0C69CD"/>
    <w:multiLevelType w:val="hybridMultilevel"/>
    <w:tmpl w:val="CBA64044"/>
    <w:lvl w:ilvl="0" w:tplc="040C0017">
      <w:start w:val="1"/>
      <w:numFmt w:val="lowerLetter"/>
      <w:lvlText w:val="%1)"/>
      <w:lvlJc w:val="left"/>
      <w:pPr>
        <w:ind w:left="1443" w:hanging="360"/>
      </w:pPr>
      <w:rPr>
        <w:rFonts w:hint="default"/>
        <w:color w:val="497083"/>
      </w:rPr>
    </w:lvl>
    <w:lvl w:ilvl="1" w:tplc="FFFFFFFF">
      <w:start w:val="1"/>
      <w:numFmt w:val="bullet"/>
      <w:lvlText w:val="o"/>
      <w:lvlJc w:val="left"/>
      <w:pPr>
        <w:ind w:left="1443" w:hanging="360"/>
      </w:pPr>
      <w:rPr>
        <w:rFonts w:ascii="Courier New" w:hAnsi="Courier New" w:hint="default"/>
      </w:rPr>
    </w:lvl>
    <w:lvl w:ilvl="2" w:tplc="FFFFFFFF">
      <w:start w:val="1"/>
      <w:numFmt w:val="bullet"/>
      <w:lvlText w:val=""/>
      <w:lvlJc w:val="left"/>
      <w:pPr>
        <w:ind w:left="2163" w:hanging="360"/>
      </w:pPr>
      <w:rPr>
        <w:rFonts w:ascii="Wingdings" w:hAnsi="Wingdings" w:hint="default"/>
      </w:rPr>
    </w:lvl>
    <w:lvl w:ilvl="3" w:tplc="FFFFFFFF" w:tentative="1">
      <w:start w:val="1"/>
      <w:numFmt w:val="bullet"/>
      <w:lvlText w:val=""/>
      <w:lvlJc w:val="left"/>
      <w:pPr>
        <w:ind w:left="2883" w:hanging="360"/>
      </w:pPr>
      <w:rPr>
        <w:rFonts w:ascii="Symbol" w:hAnsi="Symbol" w:hint="default"/>
      </w:rPr>
    </w:lvl>
    <w:lvl w:ilvl="4" w:tplc="FFFFFFFF" w:tentative="1">
      <w:start w:val="1"/>
      <w:numFmt w:val="bullet"/>
      <w:lvlText w:val="o"/>
      <w:lvlJc w:val="left"/>
      <w:pPr>
        <w:ind w:left="3603" w:hanging="360"/>
      </w:pPr>
      <w:rPr>
        <w:rFonts w:ascii="Courier New" w:hAnsi="Courier New" w:hint="default"/>
      </w:rPr>
    </w:lvl>
    <w:lvl w:ilvl="5" w:tplc="FFFFFFFF" w:tentative="1">
      <w:start w:val="1"/>
      <w:numFmt w:val="bullet"/>
      <w:lvlText w:val=""/>
      <w:lvlJc w:val="left"/>
      <w:pPr>
        <w:ind w:left="4323" w:hanging="360"/>
      </w:pPr>
      <w:rPr>
        <w:rFonts w:ascii="Wingdings" w:hAnsi="Wingdings" w:hint="default"/>
      </w:rPr>
    </w:lvl>
    <w:lvl w:ilvl="6" w:tplc="FFFFFFFF" w:tentative="1">
      <w:start w:val="1"/>
      <w:numFmt w:val="bullet"/>
      <w:lvlText w:val=""/>
      <w:lvlJc w:val="left"/>
      <w:pPr>
        <w:ind w:left="5043" w:hanging="360"/>
      </w:pPr>
      <w:rPr>
        <w:rFonts w:ascii="Symbol" w:hAnsi="Symbol" w:hint="default"/>
      </w:rPr>
    </w:lvl>
    <w:lvl w:ilvl="7" w:tplc="FFFFFFFF" w:tentative="1">
      <w:start w:val="1"/>
      <w:numFmt w:val="bullet"/>
      <w:lvlText w:val="o"/>
      <w:lvlJc w:val="left"/>
      <w:pPr>
        <w:ind w:left="5763" w:hanging="360"/>
      </w:pPr>
      <w:rPr>
        <w:rFonts w:ascii="Courier New" w:hAnsi="Courier New" w:hint="default"/>
      </w:rPr>
    </w:lvl>
    <w:lvl w:ilvl="8" w:tplc="FFFFFFFF" w:tentative="1">
      <w:start w:val="1"/>
      <w:numFmt w:val="bullet"/>
      <w:lvlText w:val=""/>
      <w:lvlJc w:val="left"/>
      <w:pPr>
        <w:ind w:left="6483" w:hanging="360"/>
      </w:pPr>
      <w:rPr>
        <w:rFonts w:ascii="Wingdings" w:hAnsi="Wingdings" w:hint="default"/>
      </w:rPr>
    </w:lvl>
  </w:abstractNum>
  <w:abstractNum w:abstractNumId="10" w15:restartNumberingAfterBreak="0">
    <w:nsid w:val="3C816B06"/>
    <w:multiLevelType w:val="hybridMultilevel"/>
    <w:tmpl w:val="55003F42"/>
    <w:lvl w:ilvl="0" w:tplc="2A86BAC6">
      <w:numFmt w:val="bullet"/>
      <w:lvlText w:val="o"/>
      <w:lvlJc w:val="left"/>
      <w:pPr>
        <w:ind w:left="747" w:hanging="361"/>
      </w:pPr>
      <w:rPr>
        <w:rFonts w:ascii="Courier New" w:eastAsia="Courier New" w:hAnsi="Courier New" w:cs="Courier New" w:hint="default"/>
        <w:color w:val="050505"/>
        <w:w w:val="99"/>
        <w:sz w:val="22"/>
        <w:szCs w:val="22"/>
        <w:lang w:val="en-GB" w:eastAsia="en-US" w:bidi="ar-SA"/>
      </w:rPr>
    </w:lvl>
    <w:lvl w:ilvl="1" w:tplc="5BF0A412">
      <w:numFmt w:val="bullet"/>
      <w:lvlText w:val="•"/>
      <w:lvlJc w:val="left"/>
      <w:pPr>
        <w:ind w:left="1349" w:hanging="361"/>
      </w:pPr>
      <w:rPr>
        <w:rFonts w:hint="default"/>
        <w:lang w:val="en-US" w:eastAsia="en-US" w:bidi="ar-SA"/>
      </w:rPr>
    </w:lvl>
    <w:lvl w:ilvl="2" w:tplc="E4B0D578">
      <w:numFmt w:val="bullet"/>
      <w:lvlText w:val="•"/>
      <w:lvlJc w:val="left"/>
      <w:pPr>
        <w:ind w:left="1958" w:hanging="361"/>
      </w:pPr>
      <w:rPr>
        <w:rFonts w:hint="default"/>
        <w:lang w:val="en-US" w:eastAsia="en-US" w:bidi="ar-SA"/>
      </w:rPr>
    </w:lvl>
    <w:lvl w:ilvl="3" w:tplc="F3C68A48">
      <w:numFmt w:val="bullet"/>
      <w:lvlText w:val="•"/>
      <w:lvlJc w:val="left"/>
      <w:pPr>
        <w:ind w:left="2567" w:hanging="361"/>
      </w:pPr>
      <w:rPr>
        <w:rFonts w:hint="default"/>
        <w:lang w:val="en-US" w:eastAsia="en-US" w:bidi="ar-SA"/>
      </w:rPr>
    </w:lvl>
    <w:lvl w:ilvl="4" w:tplc="58845BF0">
      <w:numFmt w:val="bullet"/>
      <w:lvlText w:val="•"/>
      <w:lvlJc w:val="left"/>
      <w:pPr>
        <w:ind w:left="3176" w:hanging="361"/>
      </w:pPr>
      <w:rPr>
        <w:rFonts w:hint="default"/>
        <w:lang w:val="en-US" w:eastAsia="en-US" w:bidi="ar-SA"/>
      </w:rPr>
    </w:lvl>
    <w:lvl w:ilvl="5" w:tplc="9EBE7A3E">
      <w:numFmt w:val="bullet"/>
      <w:lvlText w:val="•"/>
      <w:lvlJc w:val="left"/>
      <w:pPr>
        <w:ind w:left="3785" w:hanging="361"/>
      </w:pPr>
      <w:rPr>
        <w:rFonts w:hint="default"/>
        <w:lang w:val="en-US" w:eastAsia="en-US" w:bidi="ar-SA"/>
      </w:rPr>
    </w:lvl>
    <w:lvl w:ilvl="6" w:tplc="26A4C124">
      <w:numFmt w:val="bullet"/>
      <w:lvlText w:val="•"/>
      <w:lvlJc w:val="left"/>
      <w:pPr>
        <w:ind w:left="4394" w:hanging="361"/>
      </w:pPr>
      <w:rPr>
        <w:rFonts w:hint="default"/>
        <w:lang w:val="en-US" w:eastAsia="en-US" w:bidi="ar-SA"/>
      </w:rPr>
    </w:lvl>
    <w:lvl w:ilvl="7" w:tplc="F7948E72">
      <w:numFmt w:val="bullet"/>
      <w:lvlText w:val="•"/>
      <w:lvlJc w:val="left"/>
      <w:pPr>
        <w:ind w:left="5003" w:hanging="361"/>
      </w:pPr>
      <w:rPr>
        <w:rFonts w:hint="default"/>
        <w:lang w:val="en-US" w:eastAsia="en-US" w:bidi="ar-SA"/>
      </w:rPr>
    </w:lvl>
    <w:lvl w:ilvl="8" w:tplc="26A012CA">
      <w:numFmt w:val="bullet"/>
      <w:lvlText w:val="•"/>
      <w:lvlJc w:val="left"/>
      <w:pPr>
        <w:ind w:left="5612" w:hanging="361"/>
      </w:pPr>
      <w:rPr>
        <w:rFonts w:hint="default"/>
        <w:lang w:val="en-US" w:eastAsia="en-US" w:bidi="ar-SA"/>
      </w:rPr>
    </w:lvl>
  </w:abstractNum>
  <w:abstractNum w:abstractNumId="11" w15:restartNumberingAfterBreak="0">
    <w:nsid w:val="4198307B"/>
    <w:multiLevelType w:val="hybridMultilevel"/>
    <w:tmpl w:val="1134785C"/>
    <w:lvl w:ilvl="0" w:tplc="0409000B">
      <w:start w:val="1"/>
      <w:numFmt w:val="bullet"/>
      <w:lvlText w:val=""/>
      <w:lvlJc w:val="left"/>
      <w:pPr>
        <w:ind w:left="1467" w:hanging="360"/>
      </w:pPr>
      <w:rPr>
        <w:rFonts w:ascii="Wingdings" w:hAnsi="Wingdings" w:hint="default"/>
      </w:rPr>
    </w:lvl>
    <w:lvl w:ilvl="1" w:tplc="04090003" w:tentative="1">
      <w:start w:val="1"/>
      <w:numFmt w:val="bullet"/>
      <w:lvlText w:val="o"/>
      <w:lvlJc w:val="left"/>
      <w:pPr>
        <w:ind w:left="2187" w:hanging="360"/>
      </w:pPr>
      <w:rPr>
        <w:rFonts w:ascii="Courier New" w:hAnsi="Courier New" w:cs="Courier New" w:hint="default"/>
      </w:rPr>
    </w:lvl>
    <w:lvl w:ilvl="2" w:tplc="04090005" w:tentative="1">
      <w:start w:val="1"/>
      <w:numFmt w:val="bullet"/>
      <w:lvlText w:val=""/>
      <w:lvlJc w:val="left"/>
      <w:pPr>
        <w:ind w:left="2907" w:hanging="360"/>
      </w:pPr>
      <w:rPr>
        <w:rFonts w:ascii="Wingdings" w:hAnsi="Wingdings" w:hint="default"/>
      </w:rPr>
    </w:lvl>
    <w:lvl w:ilvl="3" w:tplc="04090001" w:tentative="1">
      <w:start w:val="1"/>
      <w:numFmt w:val="bullet"/>
      <w:lvlText w:val=""/>
      <w:lvlJc w:val="left"/>
      <w:pPr>
        <w:ind w:left="3627" w:hanging="360"/>
      </w:pPr>
      <w:rPr>
        <w:rFonts w:ascii="Symbol" w:hAnsi="Symbol" w:hint="default"/>
      </w:rPr>
    </w:lvl>
    <w:lvl w:ilvl="4" w:tplc="04090003" w:tentative="1">
      <w:start w:val="1"/>
      <w:numFmt w:val="bullet"/>
      <w:lvlText w:val="o"/>
      <w:lvlJc w:val="left"/>
      <w:pPr>
        <w:ind w:left="4347" w:hanging="360"/>
      </w:pPr>
      <w:rPr>
        <w:rFonts w:ascii="Courier New" w:hAnsi="Courier New" w:cs="Courier New" w:hint="default"/>
      </w:rPr>
    </w:lvl>
    <w:lvl w:ilvl="5" w:tplc="04090005" w:tentative="1">
      <w:start w:val="1"/>
      <w:numFmt w:val="bullet"/>
      <w:lvlText w:val=""/>
      <w:lvlJc w:val="left"/>
      <w:pPr>
        <w:ind w:left="5067" w:hanging="360"/>
      </w:pPr>
      <w:rPr>
        <w:rFonts w:ascii="Wingdings" w:hAnsi="Wingdings" w:hint="default"/>
      </w:rPr>
    </w:lvl>
    <w:lvl w:ilvl="6" w:tplc="04090001" w:tentative="1">
      <w:start w:val="1"/>
      <w:numFmt w:val="bullet"/>
      <w:lvlText w:val=""/>
      <w:lvlJc w:val="left"/>
      <w:pPr>
        <w:ind w:left="5787" w:hanging="360"/>
      </w:pPr>
      <w:rPr>
        <w:rFonts w:ascii="Symbol" w:hAnsi="Symbol" w:hint="default"/>
      </w:rPr>
    </w:lvl>
    <w:lvl w:ilvl="7" w:tplc="04090003" w:tentative="1">
      <w:start w:val="1"/>
      <w:numFmt w:val="bullet"/>
      <w:lvlText w:val="o"/>
      <w:lvlJc w:val="left"/>
      <w:pPr>
        <w:ind w:left="6507" w:hanging="360"/>
      </w:pPr>
      <w:rPr>
        <w:rFonts w:ascii="Courier New" w:hAnsi="Courier New" w:cs="Courier New" w:hint="default"/>
      </w:rPr>
    </w:lvl>
    <w:lvl w:ilvl="8" w:tplc="04090005" w:tentative="1">
      <w:start w:val="1"/>
      <w:numFmt w:val="bullet"/>
      <w:lvlText w:val=""/>
      <w:lvlJc w:val="left"/>
      <w:pPr>
        <w:ind w:left="7227" w:hanging="360"/>
      </w:pPr>
      <w:rPr>
        <w:rFonts w:ascii="Wingdings" w:hAnsi="Wingdings" w:hint="default"/>
      </w:rPr>
    </w:lvl>
  </w:abstractNum>
  <w:abstractNum w:abstractNumId="12" w15:restartNumberingAfterBreak="0">
    <w:nsid w:val="504E0F26"/>
    <w:multiLevelType w:val="hybridMultilevel"/>
    <w:tmpl w:val="BD0E379E"/>
    <w:lvl w:ilvl="0" w:tplc="11F42B50">
      <w:numFmt w:val="bullet"/>
      <w:lvlText w:val="o"/>
      <w:lvlJc w:val="left"/>
      <w:pPr>
        <w:ind w:left="819" w:hanging="361"/>
      </w:pPr>
      <w:rPr>
        <w:rFonts w:ascii="Courier New" w:eastAsia="Courier New" w:hAnsi="Courier New" w:cs="Courier New" w:hint="default"/>
        <w:color w:val="050505"/>
        <w:w w:val="99"/>
        <w:sz w:val="22"/>
        <w:szCs w:val="22"/>
        <w:lang w:val="en-US" w:eastAsia="en-US" w:bidi="ar-SA"/>
      </w:rPr>
    </w:lvl>
    <w:lvl w:ilvl="1" w:tplc="08726DFA">
      <w:numFmt w:val="bullet"/>
      <w:lvlText w:val="•"/>
      <w:lvlJc w:val="left"/>
      <w:pPr>
        <w:ind w:left="1421" w:hanging="361"/>
      </w:pPr>
      <w:rPr>
        <w:rFonts w:hint="default"/>
        <w:lang w:val="en-US" w:eastAsia="en-US" w:bidi="ar-SA"/>
      </w:rPr>
    </w:lvl>
    <w:lvl w:ilvl="2" w:tplc="72966FC0">
      <w:numFmt w:val="bullet"/>
      <w:lvlText w:val="•"/>
      <w:lvlJc w:val="left"/>
      <w:pPr>
        <w:ind w:left="2022" w:hanging="361"/>
      </w:pPr>
      <w:rPr>
        <w:rFonts w:hint="default"/>
        <w:lang w:val="en-US" w:eastAsia="en-US" w:bidi="ar-SA"/>
      </w:rPr>
    </w:lvl>
    <w:lvl w:ilvl="3" w:tplc="BCB2AEB6">
      <w:numFmt w:val="bullet"/>
      <w:lvlText w:val="•"/>
      <w:lvlJc w:val="left"/>
      <w:pPr>
        <w:ind w:left="2623" w:hanging="361"/>
      </w:pPr>
      <w:rPr>
        <w:rFonts w:hint="default"/>
        <w:lang w:val="en-US" w:eastAsia="en-US" w:bidi="ar-SA"/>
      </w:rPr>
    </w:lvl>
    <w:lvl w:ilvl="4" w:tplc="116236E4">
      <w:numFmt w:val="bullet"/>
      <w:lvlText w:val="•"/>
      <w:lvlJc w:val="left"/>
      <w:pPr>
        <w:ind w:left="3224" w:hanging="361"/>
      </w:pPr>
      <w:rPr>
        <w:rFonts w:hint="default"/>
        <w:lang w:val="en-US" w:eastAsia="en-US" w:bidi="ar-SA"/>
      </w:rPr>
    </w:lvl>
    <w:lvl w:ilvl="5" w:tplc="5AF8671E">
      <w:numFmt w:val="bullet"/>
      <w:lvlText w:val="•"/>
      <w:lvlJc w:val="left"/>
      <w:pPr>
        <w:ind w:left="3825" w:hanging="361"/>
      </w:pPr>
      <w:rPr>
        <w:rFonts w:hint="default"/>
        <w:lang w:val="en-US" w:eastAsia="en-US" w:bidi="ar-SA"/>
      </w:rPr>
    </w:lvl>
    <w:lvl w:ilvl="6" w:tplc="80049CF2">
      <w:numFmt w:val="bullet"/>
      <w:lvlText w:val="•"/>
      <w:lvlJc w:val="left"/>
      <w:pPr>
        <w:ind w:left="4426" w:hanging="361"/>
      </w:pPr>
      <w:rPr>
        <w:rFonts w:hint="default"/>
        <w:lang w:val="en-US" w:eastAsia="en-US" w:bidi="ar-SA"/>
      </w:rPr>
    </w:lvl>
    <w:lvl w:ilvl="7" w:tplc="5712B766">
      <w:numFmt w:val="bullet"/>
      <w:lvlText w:val="•"/>
      <w:lvlJc w:val="left"/>
      <w:pPr>
        <w:ind w:left="5027" w:hanging="361"/>
      </w:pPr>
      <w:rPr>
        <w:rFonts w:hint="default"/>
        <w:lang w:val="en-US" w:eastAsia="en-US" w:bidi="ar-SA"/>
      </w:rPr>
    </w:lvl>
    <w:lvl w:ilvl="8" w:tplc="41084CEE">
      <w:numFmt w:val="bullet"/>
      <w:lvlText w:val="•"/>
      <w:lvlJc w:val="left"/>
      <w:pPr>
        <w:ind w:left="5628" w:hanging="361"/>
      </w:pPr>
      <w:rPr>
        <w:rFonts w:hint="default"/>
        <w:lang w:val="en-US" w:eastAsia="en-US" w:bidi="ar-SA"/>
      </w:rPr>
    </w:lvl>
  </w:abstractNum>
  <w:abstractNum w:abstractNumId="13" w15:restartNumberingAfterBreak="0">
    <w:nsid w:val="51847559"/>
    <w:multiLevelType w:val="hybridMultilevel"/>
    <w:tmpl w:val="5BF2CF54"/>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2640A29"/>
    <w:multiLevelType w:val="hybridMultilevel"/>
    <w:tmpl w:val="167CE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BF4444"/>
    <w:multiLevelType w:val="hybridMultilevel"/>
    <w:tmpl w:val="63F8A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2B66F9"/>
    <w:multiLevelType w:val="hybridMultilevel"/>
    <w:tmpl w:val="782C9744"/>
    <w:lvl w:ilvl="0" w:tplc="9970C3CE">
      <w:numFmt w:val="bullet"/>
      <w:lvlText w:val="o"/>
      <w:lvlJc w:val="left"/>
      <w:pPr>
        <w:ind w:left="819" w:hanging="361"/>
      </w:pPr>
      <w:rPr>
        <w:rFonts w:ascii="Courier New" w:eastAsia="Courier New" w:hAnsi="Courier New" w:cs="Courier New" w:hint="default"/>
        <w:color w:val="050505"/>
        <w:w w:val="99"/>
        <w:sz w:val="22"/>
        <w:szCs w:val="22"/>
        <w:lang w:val="en-US" w:eastAsia="en-US" w:bidi="ar-SA"/>
      </w:rPr>
    </w:lvl>
    <w:lvl w:ilvl="1" w:tplc="4F24B110">
      <w:numFmt w:val="bullet"/>
      <w:lvlText w:val="•"/>
      <w:lvlJc w:val="left"/>
      <w:pPr>
        <w:ind w:left="1421" w:hanging="361"/>
      </w:pPr>
      <w:rPr>
        <w:rFonts w:hint="default"/>
        <w:lang w:val="en-US" w:eastAsia="en-US" w:bidi="ar-SA"/>
      </w:rPr>
    </w:lvl>
    <w:lvl w:ilvl="2" w:tplc="1E9A84FE">
      <w:numFmt w:val="bullet"/>
      <w:lvlText w:val="•"/>
      <w:lvlJc w:val="left"/>
      <w:pPr>
        <w:ind w:left="2022" w:hanging="361"/>
      </w:pPr>
      <w:rPr>
        <w:rFonts w:hint="default"/>
        <w:lang w:val="en-US" w:eastAsia="en-US" w:bidi="ar-SA"/>
      </w:rPr>
    </w:lvl>
    <w:lvl w:ilvl="3" w:tplc="A6B4BB28">
      <w:numFmt w:val="bullet"/>
      <w:lvlText w:val="•"/>
      <w:lvlJc w:val="left"/>
      <w:pPr>
        <w:ind w:left="2623" w:hanging="361"/>
      </w:pPr>
      <w:rPr>
        <w:rFonts w:hint="default"/>
        <w:lang w:val="en-US" w:eastAsia="en-US" w:bidi="ar-SA"/>
      </w:rPr>
    </w:lvl>
    <w:lvl w:ilvl="4" w:tplc="7612F4D8">
      <w:numFmt w:val="bullet"/>
      <w:lvlText w:val="•"/>
      <w:lvlJc w:val="left"/>
      <w:pPr>
        <w:ind w:left="3224" w:hanging="361"/>
      </w:pPr>
      <w:rPr>
        <w:rFonts w:hint="default"/>
        <w:lang w:val="en-US" w:eastAsia="en-US" w:bidi="ar-SA"/>
      </w:rPr>
    </w:lvl>
    <w:lvl w:ilvl="5" w:tplc="8E8E61BA">
      <w:numFmt w:val="bullet"/>
      <w:lvlText w:val="•"/>
      <w:lvlJc w:val="left"/>
      <w:pPr>
        <w:ind w:left="3825" w:hanging="361"/>
      </w:pPr>
      <w:rPr>
        <w:rFonts w:hint="default"/>
        <w:lang w:val="en-US" w:eastAsia="en-US" w:bidi="ar-SA"/>
      </w:rPr>
    </w:lvl>
    <w:lvl w:ilvl="6" w:tplc="7D1ADFEA">
      <w:numFmt w:val="bullet"/>
      <w:lvlText w:val="•"/>
      <w:lvlJc w:val="left"/>
      <w:pPr>
        <w:ind w:left="4426" w:hanging="361"/>
      </w:pPr>
      <w:rPr>
        <w:rFonts w:hint="default"/>
        <w:lang w:val="en-US" w:eastAsia="en-US" w:bidi="ar-SA"/>
      </w:rPr>
    </w:lvl>
    <w:lvl w:ilvl="7" w:tplc="D4567C52">
      <w:numFmt w:val="bullet"/>
      <w:lvlText w:val="•"/>
      <w:lvlJc w:val="left"/>
      <w:pPr>
        <w:ind w:left="5027" w:hanging="361"/>
      </w:pPr>
      <w:rPr>
        <w:rFonts w:hint="default"/>
        <w:lang w:val="en-US" w:eastAsia="en-US" w:bidi="ar-SA"/>
      </w:rPr>
    </w:lvl>
    <w:lvl w:ilvl="8" w:tplc="F0DA7DF8">
      <w:numFmt w:val="bullet"/>
      <w:lvlText w:val="•"/>
      <w:lvlJc w:val="left"/>
      <w:pPr>
        <w:ind w:left="5628" w:hanging="361"/>
      </w:pPr>
      <w:rPr>
        <w:rFonts w:hint="default"/>
        <w:lang w:val="en-US" w:eastAsia="en-US" w:bidi="ar-SA"/>
      </w:rPr>
    </w:lvl>
  </w:abstractNum>
  <w:abstractNum w:abstractNumId="17" w15:restartNumberingAfterBreak="0">
    <w:nsid w:val="5ECC73AE"/>
    <w:multiLevelType w:val="hybridMultilevel"/>
    <w:tmpl w:val="CA189138"/>
    <w:lvl w:ilvl="0" w:tplc="11BA7FD6">
      <w:start w:val="1"/>
      <w:numFmt w:val="bullet"/>
      <w:lvlText w:val="-"/>
      <w:lvlJc w:val="left"/>
      <w:pPr>
        <w:ind w:left="720" w:hanging="360"/>
      </w:pPr>
      <w:rPr>
        <w:rFonts w:ascii="Courier New" w:hAnsi="Courier New" w:hint="default"/>
        <w:w w:val="100"/>
        <w:sz w:val="22"/>
        <w:szCs w:val="22"/>
        <w:lang w:val="en-US" w:eastAsia="en-US" w:bidi="ar-SA"/>
      </w:rPr>
    </w:lvl>
    <w:lvl w:ilvl="1" w:tplc="FFFFFFFF">
      <w:numFmt w:val="bullet"/>
      <w:lvlText w:val="•"/>
      <w:lvlJc w:val="left"/>
      <w:pPr>
        <w:ind w:left="1662" w:hanging="720"/>
      </w:pPr>
      <w:rPr>
        <w:rFonts w:hint="default"/>
        <w:lang w:val="en-US" w:eastAsia="en-US" w:bidi="ar-SA"/>
      </w:rPr>
    </w:lvl>
    <w:lvl w:ilvl="2" w:tplc="FFFFFFFF">
      <w:numFmt w:val="bullet"/>
      <w:lvlText w:val="•"/>
      <w:lvlJc w:val="left"/>
      <w:pPr>
        <w:ind w:left="2505" w:hanging="720"/>
      </w:pPr>
      <w:rPr>
        <w:rFonts w:hint="default"/>
        <w:lang w:val="en-US" w:eastAsia="en-US" w:bidi="ar-SA"/>
      </w:rPr>
    </w:lvl>
    <w:lvl w:ilvl="3" w:tplc="FFFFFFFF">
      <w:numFmt w:val="bullet"/>
      <w:lvlText w:val="•"/>
      <w:lvlJc w:val="left"/>
      <w:pPr>
        <w:ind w:left="3347" w:hanging="720"/>
      </w:pPr>
      <w:rPr>
        <w:rFonts w:hint="default"/>
        <w:lang w:val="en-US" w:eastAsia="en-US" w:bidi="ar-SA"/>
      </w:rPr>
    </w:lvl>
    <w:lvl w:ilvl="4" w:tplc="FFFFFFFF">
      <w:numFmt w:val="bullet"/>
      <w:lvlText w:val="•"/>
      <w:lvlJc w:val="left"/>
      <w:pPr>
        <w:ind w:left="4190" w:hanging="720"/>
      </w:pPr>
      <w:rPr>
        <w:rFonts w:hint="default"/>
        <w:lang w:val="en-US" w:eastAsia="en-US" w:bidi="ar-SA"/>
      </w:rPr>
    </w:lvl>
    <w:lvl w:ilvl="5" w:tplc="FFFFFFFF">
      <w:numFmt w:val="bullet"/>
      <w:lvlText w:val="•"/>
      <w:lvlJc w:val="left"/>
      <w:pPr>
        <w:ind w:left="5033" w:hanging="720"/>
      </w:pPr>
      <w:rPr>
        <w:rFonts w:hint="default"/>
        <w:lang w:val="en-US" w:eastAsia="en-US" w:bidi="ar-SA"/>
      </w:rPr>
    </w:lvl>
    <w:lvl w:ilvl="6" w:tplc="FFFFFFFF">
      <w:numFmt w:val="bullet"/>
      <w:lvlText w:val="•"/>
      <w:lvlJc w:val="left"/>
      <w:pPr>
        <w:ind w:left="5875" w:hanging="720"/>
      </w:pPr>
      <w:rPr>
        <w:rFonts w:hint="default"/>
        <w:lang w:val="en-US" w:eastAsia="en-US" w:bidi="ar-SA"/>
      </w:rPr>
    </w:lvl>
    <w:lvl w:ilvl="7" w:tplc="FFFFFFFF">
      <w:numFmt w:val="bullet"/>
      <w:lvlText w:val="•"/>
      <w:lvlJc w:val="left"/>
      <w:pPr>
        <w:ind w:left="6718" w:hanging="720"/>
      </w:pPr>
      <w:rPr>
        <w:rFonts w:hint="default"/>
        <w:lang w:val="en-US" w:eastAsia="en-US" w:bidi="ar-SA"/>
      </w:rPr>
    </w:lvl>
    <w:lvl w:ilvl="8" w:tplc="FFFFFFFF">
      <w:numFmt w:val="bullet"/>
      <w:lvlText w:val="•"/>
      <w:lvlJc w:val="left"/>
      <w:pPr>
        <w:ind w:left="7561" w:hanging="720"/>
      </w:pPr>
      <w:rPr>
        <w:rFonts w:hint="default"/>
        <w:lang w:val="en-US" w:eastAsia="en-US" w:bidi="ar-SA"/>
      </w:rPr>
    </w:lvl>
  </w:abstractNum>
  <w:abstractNum w:abstractNumId="18" w15:restartNumberingAfterBreak="0">
    <w:nsid w:val="62632C55"/>
    <w:multiLevelType w:val="hybridMultilevel"/>
    <w:tmpl w:val="D5829480"/>
    <w:lvl w:ilvl="0" w:tplc="140C000B">
      <w:start w:val="1"/>
      <w:numFmt w:val="bullet"/>
      <w:lvlText w:val=""/>
      <w:lvlJc w:val="left"/>
      <w:pPr>
        <w:ind w:left="1196" w:hanging="360"/>
      </w:pPr>
      <w:rPr>
        <w:rFonts w:ascii="Wingdings" w:hAnsi="Wingdings" w:hint="default"/>
      </w:rPr>
    </w:lvl>
    <w:lvl w:ilvl="1" w:tplc="140C0003">
      <w:start w:val="1"/>
      <w:numFmt w:val="bullet"/>
      <w:lvlText w:val="o"/>
      <w:lvlJc w:val="left"/>
      <w:pPr>
        <w:ind w:left="1916" w:hanging="360"/>
      </w:pPr>
      <w:rPr>
        <w:rFonts w:ascii="Courier New" w:hAnsi="Courier New" w:cs="Courier New" w:hint="default"/>
      </w:rPr>
    </w:lvl>
    <w:lvl w:ilvl="2" w:tplc="140C0005">
      <w:start w:val="1"/>
      <w:numFmt w:val="bullet"/>
      <w:lvlText w:val=""/>
      <w:lvlJc w:val="left"/>
      <w:pPr>
        <w:ind w:left="2636" w:hanging="360"/>
      </w:pPr>
      <w:rPr>
        <w:rFonts w:ascii="Wingdings" w:hAnsi="Wingdings" w:hint="default"/>
      </w:rPr>
    </w:lvl>
    <w:lvl w:ilvl="3" w:tplc="140C0001">
      <w:start w:val="1"/>
      <w:numFmt w:val="bullet"/>
      <w:lvlText w:val=""/>
      <w:lvlJc w:val="left"/>
      <w:pPr>
        <w:ind w:left="3356" w:hanging="360"/>
      </w:pPr>
      <w:rPr>
        <w:rFonts w:ascii="Symbol" w:hAnsi="Symbol" w:hint="default"/>
      </w:rPr>
    </w:lvl>
    <w:lvl w:ilvl="4" w:tplc="140C0003">
      <w:start w:val="1"/>
      <w:numFmt w:val="bullet"/>
      <w:lvlText w:val="o"/>
      <w:lvlJc w:val="left"/>
      <w:pPr>
        <w:ind w:left="4076" w:hanging="360"/>
      </w:pPr>
      <w:rPr>
        <w:rFonts w:ascii="Courier New" w:hAnsi="Courier New" w:cs="Courier New" w:hint="default"/>
      </w:rPr>
    </w:lvl>
    <w:lvl w:ilvl="5" w:tplc="140C0005" w:tentative="1">
      <w:start w:val="1"/>
      <w:numFmt w:val="bullet"/>
      <w:lvlText w:val=""/>
      <w:lvlJc w:val="left"/>
      <w:pPr>
        <w:ind w:left="4796" w:hanging="360"/>
      </w:pPr>
      <w:rPr>
        <w:rFonts w:ascii="Wingdings" w:hAnsi="Wingdings" w:hint="default"/>
      </w:rPr>
    </w:lvl>
    <w:lvl w:ilvl="6" w:tplc="140C0001" w:tentative="1">
      <w:start w:val="1"/>
      <w:numFmt w:val="bullet"/>
      <w:lvlText w:val=""/>
      <w:lvlJc w:val="left"/>
      <w:pPr>
        <w:ind w:left="5516" w:hanging="360"/>
      </w:pPr>
      <w:rPr>
        <w:rFonts w:ascii="Symbol" w:hAnsi="Symbol" w:hint="default"/>
      </w:rPr>
    </w:lvl>
    <w:lvl w:ilvl="7" w:tplc="140C0003" w:tentative="1">
      <w:start w:val="1"/>
      <w:numFmt w:val="bullet"/>
      <w:lvlText w:val="o"/>
      <w:lvlJc w:val="left"/>
      <w:pPr>
        <w:ind w:left="6236" w:hanging="360"/>
      </w:pPr>
      <w:rPr>
        <w:rFonts w:ascii="Courier New" w:hAnsi="Courier New" w:cs="Courier New" w:hint="default"/>
      </w:rPr>
    </w:lvl>
    <w:lvl w:ilvl="8" w:tplc="140C0005" w:tentative="1">
      <w:start w:val="1"/>
      <w:numFmt w:val="bullet"/>
      <w:lvlText w:val=""/>
      <w:lvlJc w:val="left"/>
      <w:pPr>
        <w:ind w:left="6956" w:hanging="360"/>
      </w:pPr>
      <w:rPr>
        <w:rFonts w:ascii="Wingdings" w:hAnsi="Wingdings" w:hint="default"/>
      </w:rPr>
    </w:lvl>
  </w:abstractNum>
  <w:abstractNum w:abstractNumId="19" w15:restartNumberingAfterBreak="0">
    <w:nsid w:val="641B297F"/>
    <w:multiLevelType w:val="hybridMultilevel"/>
    <w:tmpl w:val="6E3EADB6"/>
    <w:lvl w:ilvl="0" w:tplc="CB589EDA">
      <w:numFmt w:val="bullet"/>
      <w:lvlText w:val="o"/>
      <w:lvlJc w:val="left"/>
      <w:pPr>
        <w:ind w:left="797" w:hanging="361"/>
      </w:pPr>
      <w:rPr>
        <w:rFonts w:ascii="Courier New" w:eastAsia="Courier New" w:hAnsi="Courier New" w:cs="Courier New" w:hint="default"/>
        <w:color w:val="050505"/>
        <w:w w:val="99"/>
        <w:sz w:val="22"/>
        <w:szCs w:val="22"/>
        <w:lang w:val="en-US" w:eastAsia="en-US" w:bidi="ar-SA"/>
      </w:rPr>
    </w:lvl>
    <w:lvl w:ilvl="1" w:tplc="C00C3232">
      <w:numFmt w:val="bullet"/>
      <w:lvlText w:val="•"/>
      <w:lvlJc w:val="left"/>
      <w:pPr>
        <w:ind w:left="1403" w:hanging="361"/>
      </w:pPr>
      <w:rPr>
        <w:rFonts w:hint="default"/>
        <w:lang w:val="en-US" w:eastAsia="en-US" w:bidi="ar-SA"/>
      </w:rPr>
    </w:lvl>
    <w:lvl w:ilvl="2" w:tplc="0D804336">
      <w:numFmt w:val="bullet"/>
      <w:lvlText w:val="•"/>
      <w:lvlJc w:val="left"/>
      <w:pPr>
        <w:ind w:left="2006" w:hanging="361"/>
      </w:pPr>
      <w:rPr>
        <w:rFonts w:hint="default"/>
        <w:lang w:val="en-US" w:eastAsia="en-US" w:bidi="ar-SA"/>
      </w:rPr>
    </w:lvl>
    <w:lvl w:ilvl="3" w:tplc="D682DCBE">
      <w:numFmt w:val="bullet"/>
      <w:lvlText w:val="•"/>
      <w:lvlJc w:val="left"/>
      <w:pPr>
        <w:ind w:left="2609" w:hanging="361"/>
      </w:pPr>
      <w:rPr>
        <w:rFonts w:hint="default"/>
        <w:lang w:val="en-US" w:eastAsia="en-US" w:bidi="ar-SA"/>
      </w:rPr>
    </w:lvl>
    <w:lvl w:ilvl="4" w:tplc="0540B456">
      <w:numFmt w:val="bullet"/>
      <w:lvlText w:val="•"/>
      <w:lvlJc w:val="left"/>
      <w:pPr>
        <w:ind w:left="3212" w:hanging="361"/>
      </w:pPr>
      <w:rPr>
        <w:rFonts w:hint="default"/>
        <w:lang w:val="en-US" w:eastAsia="en-US" w:bidi="ar-SA"/>
      </w:rPr>
    </w:lvl>
    <w:lvl w:ilvl="5" w:tplc="FF9CBE9C">
      <w:numFmt w:val="bullet"/>
      <w:lvlText w:val="•"/>
      <w:lvlJc w:val="left"/>
      <w:pPr>
        <w:ind w:left="3815" w:hanging="361"/>
      </w:pPr>
      <w:rPr>
        <w:rFonts w:hint="default"/>
        <w:lang w:val="en-US" w:eastAsia="en-US" w:bidi="ar-SA"/>
      </w:rPr>
    </w:lvl>
    <w:lvl w:ilvl="6" w:tplc="F0AA2CC0">
      <w:numFmt w:val="bullet"/>
      <w:lvlText w:val="•"/>
      <w:lvlJc w:val="left"/>
      <w:pPr>
        <w:ind w:left="4418" w:hanging="361"/>
      </w:pPr>
      <w:rPr>
        <w:rFonts w:hint="default"/>
        <w:lang w:val="en-US" w:eastAsia="en-US" w:bidi="ar-SA"/>
      </w:rPr>
    </w:lvl>
    <w:lvl w:ilvl="7" w:tplc="295E4E4C">
      <w:numFmt w:val="bullet"/>
      <w:lvlText w:val="•"/>
      <w:lvlJc w:val="left"/>
      <w:pPr>
        <w:ind w:left="5021" w:hanging="361"/>
      </w:pPr>
      <w:rPr>
        <w:rFonts w:hint="default"/>
        <w:lang w:val="en-US" w:eastAsia="en-US" w:bidi="ar-SA"/>
      </w:rPr>
    </w:lvl>
    <w:lvl w:ilvl="8" w:tplc="1DD28044">
      <w:numFmt w:val="bullet"/>
      <w:lvlText w:val="•"/>
      <w:lvlJc w:val="left"/>
      <w:pPr>
        <w:ind w:left="5624" w:hanging="361"/>
      </w:pPr>
      <w:rPr>
        <w:rFonts w:hint="default"/>
        <w:lang w:val="en-US" w:eastAsia="en-US" w:bidi="ar-SA"/>
      </w:rPr>
    </w:lvl>
  </w:abstractNum>
  <w:abstractNum w:abstractNumId="20" w15:restartNumberingAfterBreak="0">
    <w:nsid w:val="66F172C4"/>
    <w:multiLevelType w:val="hybridMultilevel"/>
    <w:tmpl w:val="32EE39C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6EC25884"/>
    <w:multiLevelType w:val="hybridMultilevel"/>
    <w:tmpl w:val="5C441040"/>
    <w:lvl w:ilvl="0" w:tplc="0646E690">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1BF0AB4"/>
    <w:multiLevelType w:val="multilevel"/>
    <w:tmpl w:val="7D2C9E78"/>
    <w:numStyleLink w:val="listbullets"/>
  </w:abstractNum>
  <w:abstractNum w:abstractNumId="23" w15:restartNumberingAfterBreak="0">
    <w:nsid w:val="7DE332A7"/>
    <w:multiLevelType w:val="hybridMultilevel"/>
    <w:tmpl w:val="E120201A"/>
    <w:lvl w:ilvl="0" w:tplc="D534C9FC">
      <w:numFmt w:val="bullet"/>
      <w:lvlText w:val="o"/>
      <w:lvlJc w:val="left"/>
      <w:pPr>
        <w:ind w:left="1012" w:hanging="533"/>
      </w:pPr>
      <w:rPr>
        <w:rFonts w:ascii="Courier New" w:eastAsia="Courier New" w:hAnsi="Courier New" w:cs="Courier New" w:hint="default"/>
        <w:w w:val="99"/>
        <w:sz w:val="22"/>
        <w:szCs w:val="22"/>
        <w:lang w:val="en-US" w:eastAsia="en-US" w:bidi="ar-SA"/>
      </w:rPr>
    </w:lvl>
    <w:lvl w:ilvl="1" w:tplc="5368217C">
      <w:numFmt w:val="bullet"/>
      <w:lvlText w:val="•"/>
      <w:lvlJc w:val="left"/>
      <w:pPr>
        <w:ind w:left="1673" w:hanging="533"/>
      </w:pPr>
      <w:rPr>
        <w:rFonts w:hint="default"/>
        <w:lang w:val="en-US" w:eastAsia="en-US" w:bidi="ar-SA"/>
      </w:rPr>
    </w:lvl>
    <w:lvl w:ilvl="2" w:tplc="14322F1E">
      <w:numFmt w:val="bullet"/>
      <w:lvlText w:val="•"/>
      <w:lvlJc w:val="left"/>
      <w:pPr>
        <w:ind w:left="2326" w:hanging="533"/>
      </w:pPr>
      <w:rPr>
        <w:rFonts w:hint="default"/>
        <w:lang w:val="en-US" w:eastAsia="en-US" w:bidi="ar-SA"/>
      </w:rPr>
    </w:lvl>
    <w:lvl w:ilvl="3" w:tplc="17D24152">
      <w:numFmt w:val="bullet"/>
      <w:lvlText w:val="•"/>
      <w:lvlJc w:val="left"/>
      <w:pPr>
        <w:ind w:left="2979" w:hanging="533"/>
      </w:pPr>
      <w:rPr>
        <w:rFonts w:hint="default"/>
        <w:lang w:val="en-US" w:eastAsia="en-US" w:bidi="ar-SA"/>
      </w:rPr>
    </w:lvl>
    <w:lvl w:ilvl="4" w:tplc="7214F932">
      <w:numFmt w:val="bullet"/>
      <w:lvlText w:val="•"/>
      <w:lvlJc w:val="left"/>
      <w:pPr>
        <w:ind w:left="3632" w:hanging="533"/>
      </w:pPr>
      <w:rPr>
        <w:rFonts w:hint="default"/>
        <w:lang w:val="en-US" w:eastAsia="en-US" w:bidi="ar-SA"/>
      </w:rPr>
    </w:lvl>
    <w:lvl w:ilvl="5" w:tplc="8FFEA74A">
      <w:numFmt w:val="bullet"/>
      <w:lvlText w:val="•"/>
      <w:lvlJc w:val="left"/>
      <w:pPr>
        <w:ind w:left="4285" w:hanging="533"/>
      </w:pPr>
      <w:rPr>
        <w:rFonts w:hint="default"/>
        <w:lang w:val="en-US" w:eastAsia="en-US" w:bidi="ar-SA"/>
      </w:rPr>
    </w:lvl>
    <w:lvl w:ilvl="6" w:tplc="33AEF60A">
      <w:numFmt w:val="bullet"/>
      <w:lvlText w:val="•"/>
      <w:lvlJc w:val="left"/>
      <w:pPr>
        <w:ind w:left="4938" w:hanging="533"/>
      </w:pPr>
      <w:rPr>
        <w:rFonts w:hint="default"/>
        <w:lang w:val="en-US" w:eastAsia="en-US" w:bidi="ar-SA"/>
      </w:rPr>
    </w:lvl>
    <w:lvl w:ilvl="7" w:tplc="7826A7FE">
      <w:numFmt w:val="bullet"/>
      <w:lvlText w:val="•"/>
      <w:lvlJc w:val="left"/>
      <w:pPr>
        <w:ind w:left="5591" w:hanging="533"/>
      </w:pPr>
      <w:rPr>
        <w:rFonts w:hint="default"/>
        <w:lang w:val="en-US" w:eastAsia="en-US" w:bidi="ar-SA"/>
      </w:rPr>
    </w:lvl>
    <w:lvl w:ilvl="8" w:tplc="47342062">
      <w:numFmt w:val="bullet"/>
      <w:lvlText w:val="•"/>
      <w:lvlJc w:val="left"/>
      <w:pPr>
        <w:ind w:left="6244" w:hanging="533"/>
      </w:pPr>
      <w:rPr>
        <w:rFonts w:hint="default"/>
        <w:lang w:val="en-US" w:eastAsia="en-US" w:bidi="ar-SA"/>
      </w:rPr>
    </w:lvl>
  </w:abstractNum>
  <w:abstractNum w:abstractNumId="24" w15:restartNumberingAfterBreak="0">
    <w:nsid w:val="7F303172"/>
    <w:multiLevelType w:val="multilevel"/>
    <w:tmpl w:val="7D2C9E78"/>
    <w:styleLink w:val="listbullets"/>
    <w:lvl w:ilvl="0">
      <w:start w:val="1"/>
      <w:numFmt w:val="bullet"/>
      <w:pStyle w:val="ListBullet"/>
      <w:lvlText w:val=""/>
      <w:lvlJc w:val="left"/>
      <w:pPr>
        <w:tabs>
          <w:tab w:val="num" w:pos="680"/>
        </w:tabs>
        <w:ind w:left="680" w:hanging="340"/>
      </w:pPr>
      <w:rPr>
        <w:rFonts w:ascii="Wingdings" w:hAnsi="Wingdings" w:hint="default"/>
        <w:color w:val="497083"/>
      </w:rPr>
    </w:lvl>
    <w:lvl w:ilvl="1">
      <w:start w:val="1"/>
      <w:numFmt w:val="bullet"/>
      <w:pStyle w:val="ListBullet2"/>
      <w:lvlText w:val=""/>
      <w:lvlJc w:val="left"/>
      <w:pPr>
        <w:tabs>
          <w:tab w:val="num" w:pos="851"/>
        </w:tabs>
        <w:ind w:left="1191" w:hanging="340"/>
      </w:pPr>
      <w:rPr>
        <w:rFonts w:ascii="Wingdings" w:hAnsi="Wingdings" w:hint="default"/>
        <w:color w:val="497083"/>
      </w:rPr>
    </w:lvl>
    <w:lvl w:ilvl="2">
      <w:start w:val="1"/>
      <w:numFmt w:val="bullet"/>
      <w:pStyle w:val="ListBullet3"/>
      <w:lvlText w:val="-"/>
      <w:lvlJc w:val="left"/>
      <w:pPr>
        <w:tabs>
          <w:tab w:val="num" w:pos="1361"/>
        </w:tabs>
        <w:ind w:left="1644" w:hanging="283"/>
      </w:pPr>
      <w:rPr>
        <w:rFonts w:ascii="Times New Roman" w:hAnsi="Times New Roman" w:hint="default"/>
        <w:color w:val="497083"/>
      </w:rPr>
    </w:lvl>
    <w:lvl w:ilvl="3">
      <w:start w:val="1"/>
      <w:numFmt w:val="none"/>
      <w:lvlText w:val=""/>
      <w:lvlJc w:val="left"/>
      <w:pPr>
        <w:ind w:left="1800" w:hanging="360"/>
      </w:pPr>
      <w:rPr>
        <w:rFonts w:hint="default"/>
      </w:rPr>
    </w:lvl>
    <w:lvl w:ilvl="4">
      <w:start w:val="1"/>
      <w:numFmt w:val="none"/>
      <w:lvlText w:val=""/>
      <w:lvlJc w:val="left"/>
      <w:pPr>
        <w:ind w:left="2520" w:hanging="360"/>
      </w:pPr>
      <w:rPr>
        <w:rFonts w:hint="default"/>
      </w:rPr>
    </w:lvl>
    <w:lvl w:ilvl="5">
      <w:start w:val="1"/>
      <w:numFmt w:val="none"/>
      <w:lvlText w:val=""/>
      <w:lvlJc w:val="left"/>
      <w:pPr>
        <w:ind w:left="3240" w:hanging="360"/>
      </w:pPr>
      <w:rPr>
        <w:rFonts w:hint="default"/>
      </w:rPr>
    </w:lvl>
    <w:lvl w:ilvl="6">
      <w:start w:val="1"/>
      <w:numFmt w:val="none"/>
      <w:lvlText w:val=""/>
      <w:lvlJc w:val="left"/>
      <w:pPr>
        <w:ind w:left="3960" w:hanging="360"/>
      </w:pPr>
      <w:rPr>
        <w:rFonts w:hint="default"/>
      </w:rPr>
    </w:lvl>
    <w:lvl w:ilvl="7">
      <w:start w:val="1"/>
      <w:numFmt w:val="none"/>
      <w:lvlText w:val=""/>
      <w:lvlJc w:val="left"/>
      <w:pPr>
        <w:ind w:left="4680" w:hanging="360"/>
      </w:pPr>
      <w:rPr>
        <w:rFonts w:hint="default"/>
      </w:rPr>
    </w:lvl>
    <w:lvl w:ilvl="8">
      <w:start w:val="1"/>
      <w:numFmt w:val="none"/>
      <w:lvlText w:val=""/>
      <w:lvlJc w:val="left"/>
      <w:pPr>
        <w:ind w:left="5400" w:hanging="360"/>
      </w:pPr>
      <w:rPr>
        <w:rFonts w:hint="default"/>
      </w:rPr>
    </w:lvl>
  </w:abstractNum>
  <w:num w:numId="1" w16cid:durableId="462964961">
    <w:abstractNumId w:val="4"/>
  </w:num>
  <w:num w:numId="2" w16cid:durableId="281814424">
    <w:abstractNumId w:val="24"/>
  </w:num>
  <w:num w:numId="3" w16cid:durableId="2003507410">
    <w:abstractNumId w:val="22"/>
  </w:num>
  <w:num w:numId="4" w16cid:durableId="1773623950">
    <w:abstractNumId w:val="6"/>
  </w:num>
  <w:num w:numId="5" w16cid:durableId="506990192">
    <w:abstractNumId w:val="0"/>
  </w:num>
  <w:num w:numId="6" w16cid:durableId="1340154682">
    <w:abstractNumId w:val="7"/>
  </w:num>
  <w:num w:numId="7" w16cid:durableId="888960547">
    <w:abstractNumId w:val="16"/>
  </w:num>
  <w:num w:numId="8" w16cid:durableId="1910920273">
    <w:abstractNumId w:val="12"/>
  </w:num>
  <w:num w:numId="9" w16cid:durableId="153572104">
    <w:abstractNumId w:val="19"/>
  </w:num>
  <w:num w:numId="10" w16cid:durableId="1756631660">
    <w:abstractNumId w:val="10"/>
  </w:num>
  <w:num w:numId="11" w16cid:durableId="701786769">
    <w:abstractNumId w:val="18"/>
  </w:num>
  <w:num w:numId="12" w16cid:durableId="2007242816">
    <w:abstractNumId w:val="9"/>
  </w:num>
  <w:num w:numId="13" w16cid:durableId="258611565">
    <w:abstractNumId w:val="3"/>
  </w:num>
  <w:num w:numId="14" w16cid:durableId="698966581">
    <w:abstractNumId w:val="23"/>
  </w:num>
  <w:num w:numId="15" w16cid:durableId="1334534298">
    <w:abstractNumId w:val="13"/>
  </w:num>
  <w:num w:numId="16" w16cid:durableId="1092822276">
    <w:abstractNumId w:val="5"/>
  </w:num>
  <w:num w:numId="17" w16cid:durableId="1207177915">
    <w:abstractNumId w:val="8"/>
  </w:num>
  <w:num w:numId="18" w16cid:durableId="1376153094">
    <w:abstractNumId w:val="17"/>
  </w:num>
  <w:num w:numId="19" w16cid:durableId="1708292787">
    <w:abstractNumId w:val="2"/>
  </w:num>
  <w:num w:numId="20" w16cid:durableId="1147867135">
    <w:abstractNumId w:val="20"/>
  </w:num>
  <w:num w:numId="21" w16cid:durableId="1780880218">
    <w:abstractNumId w:val="14"/>
  </w:num>
  <w:num w:numId="22" w16cid:durableId="1187213101">
    <w:abstractNumId w:val="15"/>
  </w:num>
  <w:num w:numId="23" w16cid:durableId="1104692701">
    <w:abstractNumId w:val="21"/>
  </w:num>
  <w:num w:numId="24" w16cid:durableId="1666741028">
    <w:abstractNumId w:val="1"/>
  </w:num>
  <w:num w:numId="25" w16cid:durableId="1793866570">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jI3MjM2MDMwMTc2tDRR0lEKTi0uzszPAykwrAUAc9BqriwAAAA="/>
  </w:docVars>
  <w:rsids>
    <w:rsidRoot w:val="00B66247"/>
    <w:rsid w:val="00001EF0"/>
    <w:rsid w:val="00002A65"/>
    <w:rsid w:val="0000649A"/>
    <w:rsid w:val="00007F04"/>
    <w:rsid w:val="00015082"/>
    <w:rsid w:val="00023F07"/>
    <w:rsid w:val="00024CE3"/>
    <w:rsid w:val="00032F5C"/>
    <w:rsid w:val="000343D6"/>
    <w:rsid w:val="00035C7A"/>
    <w:rsid w:val="00036D0E"/>
    <w:rsid w:val="00041D26"/>
    <w:rsid w:val="0004257F"/>
    <w:rsid w:val="00042BA8"/>
    <w:rsid w:val="00043504"/>
    <w:rsid w:val="00051582"/>
    <w:rsid w:val="00053B03"/>
    <w:rsid w:val="00057862"/>
    <w:rsid w:val="00057EE5"/>
    <w:rsid w:val="00061F54"/>
    <w:rsid w:val="00064106"/>
    <w:rsid w:val="000643C2"/>
    <w:rsid w:val="00064434"/>
    <w:rsid w:val="00064A0D"/>
    <w:rsid w:val="0006561B"/>
    <w:rsid w:val="00072B23"/>
    <w:rsid w:val="00073114"/>
    <w:rsid w:val="00074381"/>
    <w:rsid w:val="00074616"/>
    <w:rsid w:val="00077E50"/>
    <w:rsid w:val="0008104D"/>
    <w:rsid w:val="00084A5A"/>
    <w:rsid w:val="000874F6"/>
    <w:rsid w:val="00090036"/>
    <w:rsid w:val="0009105E"/>
    <w:rsid w:val="00091937"/>
    <w:rsid w:val="00093917"/>
    <w:rsid w:val="0009475B"/>
    <w:rsid w:val="000A17D3"/>
    <w:rsid w:val="000A4B77"/>
    <w:rsid w:val="000A5F7B"/>
    <w:rsid w:val="000A6426"/>
    <w:rsid w:val="000A6E70"/>
    <w:rsid w:val="000B2D05"/>
    <w:rsid w:val="000B4670"/>
    <w:rsid w:val="000B6A5B"/>
    <w:rsid w:val="000B6E5B"/>
    <w:rsid w:val="000B7173"/>
    <w:rsid w:val="000B7E45"/>
    <w:rsid w:val="000C3A41"/>
    <w:rsid w:val="000C55DD"/>
    <w:rsid w:val="000C7BD0"/>
    <w:rsid w:val="000D2BBE"/>
    <w:rsid w:val="000E2B60"/>
    <w:rsid w:val="000E398A"/>
    <w:rsid w:val="000E69A5"/>
    <w:rsid w:val="000E6F53"/>
    <w:rsid w:val="000E7151"/>
    <w:rsid w:val="000F470B"/>
    <w:rsid w:val="000F48BF"/>
    <w:rsid w:val="000F5419"/>
    <w:rsid w:val="000F7640"/>
    <w:rsid w:val="00100703"/>
    <w:rsid w:val="001008BD"/>
    <w:rsid w:val="00100BD7"/>
    <w:rsid w:val="0010204F"/>
    <w:rsid w:val="00103BDB"/>
    <w:rsid w:val="001048D4"/>
    <w:rsid w:val="00106A34"/>
    <w:rsid w:val="001073C9"/>
    <w:rsid w:val="00107AAF"/>
    <w:rsid w:val="00111625"/>
    <w:rsid w:val="001124E7"/>
    <w:rsid w:val="001136BD"/>
    <w:rsid w:val="0011738F"/>
    <w:rsid w:val="00117C84"/>
    <w:rsid w:val="00122063"/>
    <w:rsid w:val="001220E7"/>
    <w:rsid w:val="001221D8"/>
    <w:rsid w:val="001227F4"/>
    <w:rsid w:val="001238D2"/>
    <w:rsid w:val="0012407F"/>
    <w:rsid w:val="001244E7"/>
    <w:rsid w:val="001247F9"/>
    <w:rsid w:val="00124FF9"/>
    <w:rsid w:val="00130E92"/>
    <w:rsid w:val="00131332"/>
    <w:rsid w:val="00131573"/>
    <w:rsid w:val="00131C81"/>
    <w:rsid w:val="0013214D"/>
    <w:rsid w:val="001323A1"/>
    <w:rsid w:val="00133958"/>
    <w:rsid w:val="00144689"/>
    <w:rsid w:val="001451F6"/>
    <w:rsid w:val="00146878"/>
    <w:rsid w:val="00152430"/>
    <w:rsid w:val="001537D9"/>
    <w:rsid w:val="00154D09"/>
    <w:rsid w:val="00155FF2"/>
    <w:rsid w:val="00156ABB"/>
    <w:rsid w:val="00160A2F"/>
    <w:rsid w:val="00160E20"/>
    <w:rsid w:val="00167E7B"/>
    <w:rsid w:val="0017282B"/>
    <w:rsid w:val="00176855"/>
    <w:rsid w:val="00182FEB"/>
    <w:rsid w:val="0018344D"/>
    <w:rsid w:val="00186A95"/>
    <w:rsid w:val="001932DA"/>
    <w:rsid w:val="0019605B"/>
    <w:rsid w:val="00197B3A"/>
    <w:rsid w:val="001A0D15"/>
    <w:rsid w:val="001A20A0"/>
    <w:rsid w:val="001A22A3"/>
    <w:rsid w:val="001A38F8"/>
    <w:rsid w:val="001A5B49"/>
    <w:rsid w:val="001A5B86"/>
    <w:rsid w:val="001A6E5E"/>
    <w:rsid w:val="001A7984"/>
    <w:rsid w:val="001B0673"/>
    <w:rsid w:val="001B0A0B"/>
    <w:rsid w:val="001B2465"/>
    <w:rsid w:val="001B4C52"/>
    <w:rsid w:val="001C1303"/>
    <w:rsid w:val="001C26E6"/>
    <w:rsid w:val="001C2772"/>
    <w:rsid w:val="001C5E35"/>
    <w:rsid w:val="001D321A"/>
    <w:rsid w:val="001D3719"/>
    <w:rsid w:val="001D3FC1"/>
    <w:rsid w:val="001D3FCE"/>
    <w:rsid w:val="001D5129"/>
    <w:rsid w:val="001D5EFE"/>
    <w:rsid w:val="001D7BA9"/>
    <w:rsid w:val="001F205D"/>
    <w:rsid w:val="001F263E"/>
    <w:rsid w:val="001F6F19"/>
    <w:rsid w:val="002043E8"/>
    <w:rsid w:val="002076C3"/>
    <w:rsid w:val="00210CBD"/>
    <w:rsid w:val="00210D32"/>
    <w:rsid w:val="00213F27"/>
    <w:rsid w:val="00214A03"/>
    <w:rsid w:val="00220CF1"/>
    <w:rsid w:val="00222841"/>
    <w:rsid w:val="00225209"/>
    <w:rsid w:val="00232D56"/>
    <w:rsid w:val="0023320C"/>
    <w:rsid w:val="0023475C"/>
    <w:rsid w:val="002363A5"/>
    <w:rsid w:val="002364E1"/>
    <w:rsid w:val="00237BC5"/>
    <w:rsid w:val="00237E97"/>
    <w:rsid w:val="002461CA"/>
    <w:rsid w:val="00247894"/>
    <w:rsid w:val="002504EE"/>
    <w:rsid w:val="00251882"/>
    <w:rsid w:val="00251AA5"/>
    <w:rsid w:val="00255750"/>
    <w:rsid w:val="00261174"/>
    <w:rsid w:val="00262100"/>
    <w:rsid w:val="002714F3"/>
    <w:rsid w:val="00273707"/>
    <w:rsid w:val="00276E65"/>
    <w:rsid w:val="0027716E"/>
    <w:rsid w:val="002808B1"/>
    <w:rsid w:val="002835CE"/>
    <w:rsid w:val="00286889"/>
    <w:rsid w:val="002916A7"/>
    <w:rsid w:val="00293F0D"/>
    <w:rsid w:val="0029649A"/>
    <w:rsid w:val="002970D3"/>
    <w:rsid w:val="002977CB"/>
    <w:rsid w:val="002A040F"/>
    <w:rsid w:val="002A1904"/>
    <w:rsid w:val="002A1FF2"/>
    <w:rsid w:val="002A6860"/>
    <w:rsid w:val="002B14F8"/>
    <w:rsid w:val="002B54B2"/>
    <w:rsid w:val="002B6B7F"/>
    <w:rsid w:val="002C2793"/>
    <w:rsid w:val="002D070D"/>
    <w:rsid w:val="002D6495"/>
    <w:rsid w:val="002D65BC"/>
    <w:rsid w:val="002E0BE7"/>
    <w:rsid w:val="002E0CF5"/>
    <w:rsid w:val="002E15B7"/>
    <w:rsid w:val="002E4EC8"/>
    <w:rsid w:val="002F1D44"/>
    <w:rsid w:val="002F2E54"/>
    <w:rsid w:val="002F7230"/>
    <w:rsid w:val="00300095"/>
    <w:rsid w:val="00303999"/>
    <w:rsid w:val="00311B6C"/>
    <w:rsid w:val="00320C9C"/>
    <w:rsid w:val="00320E9D"/>
    <w:rsid w:val="00321556"/>
    <w:rsid w:val="00323ECA"/>
    <w:rsid w:val="003254EF"/>
    <w:rsid w:val="00327688"/>
    <w:rsid w:val="00330220"/>
    <w:rsid w:val="00333393"/>
    <w:rsid w:val="00334160"/>
    <w:rsid w:val="00344EBF"/>
    <w:rsid w:val="00345F90"/>
    <w:rsid w:val="0034678F"/>
    <w:rsid w:val="00351085"/>
    <w:rsid w:val="00351EC3"/>
    <w:rsid w:val="00356BBD"/>
    <w:rsid w:val="00357A38"/>
    <w:rsid w:val="00361451"/>
    <w:rsid w:val="00361F32"/>
    <w:rsid w:val="0036259C"/>
    <w:rsid w:val="00363715"/>
    <w:rsid w:val="003642ED"/>
    <w:rsid w:val="0036556C"/>
    <w:rsid w:val="003711BA"/>
    <w:rsid w:val="00373EB8"/>
    <w:rsid w:val="00374B9F"/>
    <w:rsid w:val="00374BE7"/>
    <w:rsid w:val="003759D2"/>
    <w:rsid w:val="0037748B"/>
    <w:rsid w:val="00377529"/>
    <w:rsid w:val="003821DD"/>
    <w:rsid w:val="00387647"/>
    <w:rsid w:val="00393821"/>
    <w:rsid w:val="00395863"/>
    <w:rsid w:val="003A0E25"/>
    <w:rsid w:val="003A146F"/>
    <w:rsid w:val="003A19F2"/>
    <w:rsid w:val="003A2400"/>
    <w:rsid w:val="003A7B9B"/>
    <w:rsid w:val="003B1A2C"/>
    <w:rsid w:val="003B44D1"/>
    <w:rsid w:val="003B571C"/>
    <w:rsid w:val="003C1DEC"/>
    <w:rsid w:val="003C5598"/>
    <w:rsid w:val="003C61ED"/>
    <w:rsid w:val="003C7037"/>
    <w:rsid w:val="003D11EA"/>
    <w:rsid w:val="003D247E"/>
    <w:rsid w:val="003D5422"/>
    <w:rsid w:val="003D5B04"/>
    <w:rsid w:val="003E4B57"/>
    <w:rsid w:val="003E60E7"/>
    <w:rsid w:val="003E6922"/>
    <w:rsid w:val="003E7E20"/>
    <w:rsid w:val="003F0CC1"/>
    <w:rsid w:val="003F196A"/>
    <w:rsid w:val="003F3BFD"/>
    <w:rsid w:val="0040000C"/>
    <w:rsid w:val="00400058"/>
    <w:rsid w:val="00400588"/>
    <w:rsid w:val="00400646"/>
    <w:rsid w:val="004029B3"/>
    <w:rsid w:val="004035AC"/>
    <w:rsid w:val="00404C3A"/>
    <w:rsid w:val="00406FDB"/>
    <w:rsid w:val="00407760"/>
    <w:rsid w:val="004152B5"/>
    <w:rsid w:val="004155D5"/>
    <w:rsid w:val="004157DA"/>
    <w:rsid w:val="00416223"/>
    <w:rsid w:val="0042386A"/>
    <w:rsid w:val="00423A4C"/>
    <w:rsid w:val="00424BBD"/>
    <w:rsid w:val="00431B01"/>
    <w:rsid w:val="00432231"/>
    <w:rsid w:val="00433277"/>
    <w:rsid w:val="004336FB"/>
    <w:rsid w:val="0043598F"/>
    <w:rsid w:val="004417EE"/>
    <w:rsid w:val="004439F7"/>
    <w:rsid w:val="0044466C"/>
    <w:rsid w:val="004459B8"/>
    <w:rsid w:val="0044666A"/>
    <w:rsid w:val="004513EB"/>
    <w:rsid w:val="004551CD"/>
    <w:rsid w:val="00455EC3"/>
    <w:rsid w:val="00456B0B"/>
    <w:rsid w:val="00456BEE"/>
    <w:rsid w:val="004607E8"/>
    <w:rsid w:val="0046326C"/>
    <w:rsid w:val="00465B0D"/>
    <w:rsid w:val="004709BF"/>
    <w:rsid w:val="00471966"/>
    <w:rsid w:val="00472017"/>
    <w:rsid w:val="00474A8F"/>
    <w:rsid w:val="00477351"/>
    <w:rsid w:val="00483E79"/>
    <w:rsid w:val="00485201"/>
    <w:rsid w:val="00485C98"/>
    <w:rsid w:val="00485FE4"/>
    <w:rsid w:val="004900C9"/>
    <w:rsid w:val="004959C2"/>
    <w:rsid w:val="00496209"/>
    <w:rsid w:val="004973A8"/>
    <w:rsid w:val="004A01F5"/>
    <w:rsid w:val="004A65B1"/>
    <w:rsid w:val="004A77B4"/>
    <w:rsid w:val="004B006E"/>
    <w:rsid w:val="004B024B"/>
    <w:rsid w:val="004B1415"/>
    <w:rsid w:val="004B2CA1"/>
    <w:rsid w:val="004B3011"/>
    <w:rsid w:val="004B35AF"/>
    <w:rsid w:val="004B468A"/>
    <w:rsid w:val="004B5BB5"/>
    <w:rsid w:val="004B5F30"/>
    <w:rsid w:val="004B5F51"/>
    <w:rsid w:val="004B6E93"/>
    <w:rsid w:val="004C0FF7"/>
    <w:rsid w:val="004C1332"/>
    <w:rsid w:val="004C328D"/>
    <w:rsid w:val="004C5195"/>
    <w:rsid w:val="004C7375"/>
    <w:rsid w:val="004D0C6D"/>
    <w:rsid w:val="004D0EA2"/>
    <w:rsid w:val="004D113F"/>
    <w:rsid w:val="004D32EA"/>
    <w:rsid w:val="004D3BC7"/>
    <w:rsid w:val="004D41ED"/>
    <w:rsid w:val="004E1383"/>
    <w:rsid w:val="004E184B"/>
    <w:rsid w:val="004E6625"/>
    <w:rsid w:val="004F458C"/>
    <w:rsid w:val="004F78B1"/>
    <w:rsid w:val="00502A2A"/>
    <w:rsid w:val="00502B30"/>
    <w:rsid w:val="0050638A"/>
    <w:rsid w:val="0050682E"/>
    <w:rsid w:val="00507080"/>
    <w:rsid w:val="00511212"/>
    <w:rsid w:val="00512880"/>
    <w:rsid w:val="00515C28"/>
    <w:rsid w:val="0051646C"/>
    <w:rsid w:val="00516617"/>
    <w:rsid w:val="0052045A"/>
    <w:rsid w:val="0052138C"/>
    <w:rsid w:val="005234F5"/>
    <w:rsid w:val="00523ACB"/>
    <w:rsid w:val="00525336"/>
    <w:rsid w:val="0053149C"/>
    <w:rsid w:val="00531CF5"/>
    <w:rsid w:val="00532B39"/>
    <w:rsid w:val="005350EF"/>
    <w:rsid w:val="00537800"/>
    <w:rsid w:val="005408E9"/>
    <w:rsid w:val="00540EE9"/>
    <w:rsid w:val="00545077"/>
    <w:rsid w:val="00546C59"/>
    <w:rsid w:val="005479AB"/>
    <w:rsid w:val="00550407"/>
    <w:rsid w:val="00555D90"/>
    <w:rsid w:val="00556AAE"/>
    <w:rsid w:val="005600F1"/>
    <w:rsid w:val="00561BC2"/>
    <w:rsid w:val="00573C50"/>
    <w:rsid w:val="005775EB"/>
    <w:rsid w:val="005802BA"/>
    <w:rsid w:val="005819B1"/>
    <w:rsid w:val="00581B55"/>
    <w:rsid w:val="00584397"/>
    <w:rsid w:val="00585AF0"/>
    <w:rsid w:val="00590497"/>
    <w:rsid w:val="00590A35"/>
    <w:rsid w:val="0059126E"/>
    <w:rsid w:val="00592DF8"/>
    <w:rsid w:val="00595D2D"/>
    <w:rsid w:val="005968FC"/>
    <w:rsid w:val="005A3F27"/>
    <w:rsid w:val="005A46AA"/>
    <w:rsid w:val="005A6D3A"/>
    <w:rsid w:val="005A72CA"/>
    <w:rsid w:val="005B0835"/>
    <w:rsid w:val="005B11DA"/>
    <w:rsid w:val="005B5AE6"/>
    <w:rsid w:val="005C1056"/>
    <w:rsid w:val="005C1B26"/>
    <w:rsid w:val="005C1BD5"/>
    <w:rsid w:val="005C3179"/>
    <w:rsid w:val="005D3F9E"/>
    <w:rsid w:val="005D411C"/>
    <w:rsid w:val="005E2C28"/>
    <w:rsid w:val="005E376C"/>
    <w:rsid w:val="005F0CFD"/>
    <w:rsid w:val="005F1486"/>
    <w:rsid w:val="005F33F3"/>
    <w:rsid w:val="005F36EF"/>
    <w:rsid w:val="005F3F3D"/>
    <w:rsid w:val="005F4910"/>
    <w:rsid w:val="005F5897"/>
    <w:rsid w:val="00603E1A"/>
    <w:rsid w:val="00604DB6"/>
    <w:rsid w:val="00604F27"/>
    <w:rsid w:val="00607A4B"/>
    <w:rsid w:val="006109F5"/>
    <w:rsid w:val="00611AC8"/>
    <w:rsid w:val="006127CC"/>
    <w:rsid w:val="006234C4"/>
    <w:rsid w:val="006235B6"/>
    <w:rsid w:val="00625DC5"/>
    <w:rsid w:val="00632147"/>
    <w:rsid w:val="006323AD"/>
    <w:rsid w:val="00633BFE"/>
    <w:rsid w:val="006362FD"/>
    <w:rsid w:val="006402FF"/>
    <w:rsid w:val="0064224C"/>
    <w:rsid w:val="0064259B"/>
    <w:rsid w:val="0064273C"/>
    <w:rsid w:val="00643AE0"/>
    <w:rsid w:val="006507E3"/>
    <w:rsid w:val="00656EB0"/>
    <w:rsid w:val="00657084"/>
    <w:rsid w:val="00657696"/>
    <w:rsid w:val="00664AAA"/>
    <w:rsid w:val="006706C5"/>
    <w:rsid w:val="00670ECE"/>
    <w:rsid w:val="00671372"/>
    <w:rsid w:val="00673045"/>
    <w:rsid w:val="00674FD3"/>
    <w:rsid w:val="00675BAF"/>
    <w:rsid w:val="006877D0"/>
    <w:rsid w:val="0069388E"/>
    <w:rsid w:val="00693EFB"/>
    <w:rsid w:val="00694AC8"/>
    <w:rsid w:val="006971E3"/>
    <w:rsid w:val="006A0AC6"/>
    <w:rsid w:val="006A24E8"/>
    <w:rsid w:val="006A32F9"/>
    <w:rsid w:val="006A3BB1"/>
    <w:rsid w:val="006B1927"/>
    <w:rsid w:val="006B1B13"/>
    <w:rsid w:val="006B32F9"/>
    <w:rsid w:val="006B5DB3"/>
    <w:rsid w:val="006C1918"/>
    <w:rsid w:val="006C1B3B"/>
    <w:rsid w:val="006C42FC"/>
    <w:rsid w:val="006D1568"/>
    <w:rsid w:val="006D18CE"/>
    <w:rsid w:val="006D2762"/>
    <w:rsid w:val="006D56FB"/>
    <w:rsid w:val="006D59F7"/>
    <w:rsid w:val="006E165E"/>
    <w:rsid w:val="006E479D"/>
    <w:rsid w:val="006E4CBE"/>
    <w:rsid w:val="006E5C02"/>
    <w:rsid w:val="006E759F"/>
    <w:rsid w:val="006E7DF6"/>
    <w:rsid w:val="006F2A43"/>
    <w:rsid w:val="006F4327"/>
    <w:rsid w:val="006F4C4A"/>
    <w:rsid w:val="006F5394"/>
    <w:rsid w:val="006F7CC0"/>
    <w:rsid w:val="006F7FE4"/>
    <w:rsid w:val="007040E3"/>
    <w:rsid w:val="00714591"/>
    <w:rsid w:val="007155A1"/>
    <w:rsid w:val="007211A6"/>
    <w:rsid w:val="00724201"/>
    <w:rsid w:val="007362EE"/>
    <w:rsid w:val="00736AC5"/>
    <w:rsid w:val="00740002"/>
    <w:rsid w:val="007408B4"/>
    <w:rsid w:val="00740E99"/>
    <w:rsid w:val="007424E9"/>
    <w:rsid w:val="007438E5"/>
    <w:rsid w:val="007460A6"/>
    <w:rsid w:val="00752126"/>
    <w:rsid w:val="0075365F"/>
    <w:rsid w:val="00753EB7"/>
    <w:rsid w:val="0076371F"/>
    <w:rsid w:val="00765193"/>
    <w:rsid w:val="00766FDA"/>
    <w:rsid w:val="0077009B"/>
    <w:rsid w:val="00771546"/>
    <w:rsid w:val="0077219E"/>
    <w:rsid w:val="00772802"/>
    <w:rsid w:val="00774996"/>
    <w:rsid w:val="00775957"/>
    <w:rsid w:val="00776993"/>
    <w:rsid w:val="00780C02"/>
    <w:rsid w:val="00784830"/>
    <w:rsid w:val="007855D1"/>
    <w:rsid w:val="00787E84"/>
    <w:rsid w:val="0079215F"/>
    <w:rsid w:val="00792E79"/>
    <w:rsid w:val="007944B6"/>
    <w:rsid w:val="00797CE9"/>
    <w:rsid w:val="007A13E6"/>
    <w:rsid w:val="007A2F12"/>
    <w:rsid w:val="007A3204"/>
    <w:rsid w:val="007A4638"/>
    <w:rsid w:val="007B1A9A"/>
    <w:rsid w:val="007C14BA"/>
    <w:rsid w:val="007C762C"/>
    <w:rsid w:val="007D1731"/>
    <w:rsid w:val="007D1CD0"/>
    <w:rsid w:val="007D23E9"/>
    <w:rsid w:val="007D43C5"/>
    <w:rsid w:val="007D6713"/>
    <w:rsid w:val="007E0505"/>
    <w:rsid w:val="007E7C3D"/>
    <w:rsid w:val="007F1524"/>
    <w:rsid w:val="007F2E34"/>
    <w:rsid w:val="007F47F7"/>
    <w:rsid w:val="0080574F"/>
    <w:rsid w:val="00811B26"/>
    <w:rsid w:val="00811E3A"/>
    <w:rsid w:val="00813C50"/>
    <w:rsid w:val="0082223B"/>
    <w:rsid w:val="00825ACE"/>
    <w:rsid w:val="00825D59"/>
    <w:rsid w:val="008336CF"/>
    <w:rsid w:val="0083446F"/>
    <w:rsid w:val="008403D2"/>
    <w:rsid w:val="008418A5"/>
    <w:rsid w:val="008436D4"/>
    <w:rsid w:val="008447D1"/>
    <w:rsid w:val="008521C2"/>
    <w:rsid w:val="00853987"/>
    <w:rsid w:val="00855BA6"/>
    <w:rsid w:val="008576CE"/>
    <w:rsid w:val="00861CBB"/>
    <w:rsid w:val="00864853"/>
    <w:rsid w:val="00865986"/>
    <w:rsid w:val="00866BCA"/>
    <w:rsid w:val="008678C5"/>
    <w:rsid w:val="00870243"/>
    <w:rsid w:val="00870916"/>
    <w:rsid w:val="00871FCC"/>
    <w:rsid w:val="00873AE8"/>
    <w:rsid w:val="00875D22"/>
    <w:rsid w:val="0087616D"/>
    <w:rsid w:val="008766A8"/>
    <w:rsid w:val="00876CA9"/>
    <w:rsid w:val="00882463"/>
    <w:rsid w:val="00885AD7"/>
    <w:rsid w:val="00893DE0"/>
    <w:rsid w:val="008950E1"/>
    <w:rsid w:val="008A03C8"/>
    <w:rsid w:val="008A2436"/>
    <w:rsid w:val="008B7256"/>
    <w:rsid w:val="008C4376"/>
    <w:rsid w:val="008C44F1"/>
    <w:rsid w:val="008C5015"/>
    <w:rsid w:val="008C53CC"/>
    <w:rsid w:val="008C67EA"/>
    <w:rsid w:val="008C68A8"/>
    <w:rsid w:val="008D13D2"/>
    <w:rsid w:val="008D3EA8"/>
    <w:rsid w:val="008D3F08"/>
    <w:rsid w:val="008D43C2"/>
    <w:rsid w:val="008D6AA8"/>
    <w:rsid w:val="008E1EFA"/>
    <w:rsid w:val="008F09AB"/>
    <w:rsid w:val="008F78BA"/>
    <w:rsid w:val="00901618"/>
    <w:rsid w:val="00901C77"/>
    <w:rsid w:val="009030C2"/>
    <w:rsid w:val="00905D1F"/>
    <w:rsid w:val="00910294"/>
    <w:rsid w:val="00910830"/>
    <w:rsid w:val="0091147D"/>
    <w:rsid w:val="0091288F"/>
    <w:rsid w:val="00913D9C"/>
    <w:rsid w:val="009167C9"/>
    <w:rsid w:val="00917807"/>
    <w:rsid w:val="009205F4"/>
    <w:rsid w:val="0092209E"/>
    <w:rsid w:val="00926547"/>
    <w:rsid w:val="00937E4A"/>
    <w:rsid w:val="00940848"/>
    <w:rsid w:val="0094358C"/>
    <w:rsid w:val="009451E6"/>
    <w:rsid w:val="00945D2A"/>
    <w:rsid w:val="00950431"/>
    <w:rsid w:val="0095764A"/>
    <w:rsid w:val="00957B3D"/>
    <w:rsid w:val="00960869"/>
    <w:rsid w:val="0096248B"/>
    <w:rsid w:val="00966A3A"/>
    <w:rsid w:val="00967410"/>
    <w:rsid w:val="0096769E"/>
    <w:rsid w:val="00971D7F"/>
    <w:rsid w:val="00974920"/>
    <w:rsid w:val="009768D0"/>
    <w:rsid w:val="00976DE4"/>
    <w:rsid w:val="00977A2D"/>
    <w:rsid w:val="009851F3"/>
    <w:rsid w:val="009861AE"/>
    <w:rsid w:val="009874E5"/>
    <w:rsid w:val="009923F5"/>
    <w:rsid w:val="009A488B"/>
    <w:rsid w:val="009A7DEF"/>
    <w:rsid w:val="009B1942"/>
    <w:rsid w:val="009B30B3"/>
    <w:rsid w:val="009B63F0"/>
    <w:rsid w:val="009C0C18"/>
    <w:rsid w:val="009C1564"/>
    <w:rsid w:val="009C1DCD"/>
    <w:rsid w:val="009C72B9"/>
    <w:rsid w:val="009D034B"/>
    <w:rsid w:val="009D1DF9"/>
    <w:rsid w:val="009D2A4D"/>
    <w:rsid w:val="009D47CB"/>
    <w:rsid w:val="009D4BAB"/>
    <w:rsid w:val="009E102D"/>
    <w:rsid w:val="009E2576"/>
    <w:rsid w:val="009E6629"/>
    <w:rsid w:val="009E74F6"/>
    <w:rsid w:val="009E7A58"/>
    <w:rsid w:val="009E7EEC"/>
    <w:rsid w:val="009F7A66"/>
    <w:rsid w:val="00A00F06"/>
    <w:rsid w:val="00A0158D"/>
    <w:rsid w:val="00A0249F"/>
    <w:rsid w:val="00A05D78"/>
    <w:rsid w:val="00A065B9"/>
    <w:rsid w:val="00A12AF7"/>
    <w:rsid w:val="00A12CD2"/>
    <w:rsid w:val="00A13513"/>
    <w:rsid w:val="00A15D00"/>
    <w:rsid w:val="00A17458"/>
    <w:rsid w:val="00A2688D"/>
    <w:rsid w:val="00A30EAA"/>
    <w:rsid w:val="00A31BA6"/>
    <w:rsid w:val="00A329F1"/>
    <w:rsid w:val="00A32D54"/>
    <w:rsid w:val="00A34404"/>
    <w:rsid w:val="00A34B4E"/>
    <w:rsid w:val="00A42C69"/>
    <w:rsid w:val="00A46B26"/>
    <w:rsid w:val="00A5452C"/>
    <w:rsid w:val="00A56ED8"/>
    <w:rsid w:val="00A6399F"/>
    <w:rsid w:val="00A64804"/>
    <w:rsid w:val="00A70923"/>
    <w:rsid w:val="00A77830"/>
    <w:rsid w:val="00A80421"/>
    <w:rsid w:val="00A80C6A"/>
    <w:rsid w:val="00A81C61"/>
    <w:rsid w:val="00A83527"/>
    <w:rsid w:val="00A84BE5"/>
    <w:rsid w:val="00A87EE7"/>
    <w:rsid w:val="00A900F5"/>
    <w:rsid w:val="00A93CFD"/>
    <w:rsid w:val="00AA1B16"/>
    <w:rsid w:val="00AA298A"/>
    <w:rsid w:val="00AA5CB6"/>
    <w:rsid w:val="00AA76C5"/>
    <w:rsid w:val="00AB085B"/>
    <w:rsid w:val="00AB1921"/>
    <w:rsid w:val="00AB19C1"/>
    <w:rsid w:val="00AC0B1C"/>
    <w:rsid w:val="00AC38DE"/>
    <w:rsid w:val="00AD15CD"/>
    <w:rsid w:val="00AD2F2E"/>
    <w:rsid w:val="00AD4491"/>
    <w:rsid w:val="00AD646F"/>
    <w:rsid w:val="00AD71CD"/>
    <w:rsid w:val="00AF4485"/>
    <w:rsid w:val="00AF760E"/>
    <w:rsid w:val="00AF7E7C"/>
    <w:rsid w:val="00B001EA"/>
    <w:rsid w:val="00B0098D"/>
    <w:rsid w:val="00B01C6D"/>
    <w:rsid w:val="00B034B2"/>
    <w:rsid w:val="00B03676"/>
    <w:rsid w:val="00B058D5"/>
    <w:rsid w:val="00B07A12"/>
    <w:rsid w:val="00B152D5"/>
    <w:rsid w:val="00B1622A"/>
    <w:rsid w:val="00B171CA"/>
    <w:rsid w:val="00B2112A"/>
    <w:rsid w:val="00B21C76"/>
    <w:rsid w:val="00B23251"/>
    <w:rsid w:val="00B30399"/>
    <w:rsid w:val="00B30BC4"/>
    <w:rsid w:val="00B31A86"/>
    <w:rsid w:val="00B40058"/>
    <w:rsid w:val="00B40A37"/>
    <w:rsid w:val="00B45F82"/>
    <w:rsid w:val="00B46F01"/>
    <w:rsid w:val="00B613A5"/>
    <w:rsid w:val="00B64984"/>
    <w:rsid w:val="00B653A3"/>
    <w:rsid w:val="00B65949"/>
    <w:rsid w:val="00B66247"/>
    <w:rsid w:val="00B66F6C"/>
    <w:rsid w:val="00B67A1F"/>
    <w:rsid w:val="00B67BE6"/>
    <w:rsid w:val="00B7307C"/>
    <w:rsid w:val="00B86D3C"/>
    <w:rsid w:val="00B92413"/>
    <w:rsid w:val="00B96F69"/>
    <w:rsid w:val="00BA7916"/>
    <w:rsid w:val="00BB015F"/>
    <w:rsid w:val="00BB0FDF"/>
    <w:rsid w:val="00BB137A"/>
    <w:rsid w:val="00BB407F"/>
    <w:rsid w:val="00BB43CF"/>
    <w:rsid w:val="00BB4ABA"/>
    <w:rsid w:val="00BB570F"/>
    <w:rsid w:val="00BB7C0A"/>
    <w:rsid w:val="00BC2F83"/>
    <w:rsid w:val="00BC30DE"/>
    <w:rsid w:val="00BC481B"/>
    <w:rsid w:val="00BC5D8F"/>
    <w:rsid w:val="00BC7C82"/>
    <w:rsid w:val="00BD0E40"/>
    <w:rsid w:val="00BD1C66"/>
    <w:rsid w:val="00BD43CE"/>
    <w:rsid w:val="00BD6A90"/>
    <w:rsid w:val="00BE0765"/>
    <w:rsid w:val="00BE4F4F"/>
    <w:rsid w:val="00BF11B4"/>
    <w:rsid w:val="00BF46ED"/>
    <w:rsid w:val="00BF4D1C"/>
    <w:rsid w:val="00C015A3"/>
    <w:rsid w:val="00C03D68"/>
    <w:rsid w:val="00C06189"/>
    <w:rsid w:val="00C10F33"/>
    <w:rsid w:val="00C1326E"/>
    <w:rsid w:val="00C1421B"/>
    <w:rsid w:val="00C14C17"/>
    <w:rsid w:val="00C159D1"/>
    <w:rsid w:val="00C15E33"/>
    <w:rsid w:val="00C1690C"/>
    <w:rsid w:val="00C16ECF"/>
    <w:rsid w:val="00C17931"/>
    <w:rsid w:val="00C20752"/>
    <w:rsid w:val="00C2158A"/>
    <w:rsid w:val="00C22E72"/>
    <w:rsid w:val="00C272E5"/>
    <w:rsid w:val="00C309D5"/>
    <w:rsid w:val="00C320DE"/>
    <w:rsid w:val="00C33AF2"/>
    <w:rsid w:val="00C36CE5"/>
    <w:rsid w:val="00C40255"/>
    <w:rsid w:val="00C4176A"/>
    <w:rsid w:val="00C449C2"/>
    <w:rsid w:val="00C477FD"/>
    <w:rsid w:val="00C47C50"/>
    <w:rsid w:val="00C51887"/>
    <w:rsid w:val="00C56F99"/>
    <w:rsid w:val="00C57DC0"/>
    <w:rsid w:val="00C600A4"/>
    <w:rsid w:val="00C62AA1"/>
    <w:rsid w:val="00C63E76"/>
    <w:rsid w:val="00C660D9"/>
    <w:rsid w:val="00C71176"/>
    <w:rsid w:val="00C7201B"/>
    <w:rsid w:val="00C720B8"/>
    <w:rsid w:val="00C728AF"/>
    <w:rsid w:val="00C74460"/>
    <w:rsid w:val="00C75924"/>
    <w:rsid w:val="00C76226"/>
    <w:rsid w:val="00C7636E"/>
    <w:rsid w:val="00C779A7"/>
    <w:rsid w:val="00C77F2A"/>
    <w:rsid w:val="00C80272"/>
    <w:rsid w:val="00C860E0"/>
    <w:rsid w:val="00C90835"/>
    <w:rsid w:val="00C91021"/>
    <w:rsid w:val="00C9308F"/>
    <w:rsid w:val="00C94F9B"/>
    <w:rsid w:val="00C9749A"/>
    <w:rsid w:val="00C975BE"/>
    <w:rsid w:val="00C97E49"/>
    <w:rsid w:val="00CA5237"/>
    <w:rsid w:val="00CA6060"/>
    <w:rsid w:val="00CA7A96"/>
    <w:rsid w:val="00CB20C4"/>
    <w:rsid w:val="00CB2389"/>
    <w:rsid w:val="00CB7439"/>
    <w:rsid w:val="00CC01F8"/>
    <w:rsid w:val="00CC3270"/>
    <w:rsid w:val="00CC4B93"/>
    <w:rsid w:val="00CC4CE5"/>
    <w:rsid w:val="00CC6090"/>
    <w:rsid w:val="00CD121F"/>
    <w:rsid w:val="00CD7116"/>
    <w:rsid w:val="00CD74CF"/>
    <w:rsid w:val="00CE0050"/>
    <w:rsid w:val="00CE1ED6"/>
    <w:rsid w:val="00CE712F"/>
    <w:rsid w:val="00CE729C"/>
    <w:rsid w:val="00CE7401"/>
    <w:rsid w:val="00CE78B6"/>
    <w:rsid w:val="00CF3689"/>
    <w:rsid w:val="00CF5A2D"/>
    <w:rsid w:val="00CF7526"/>
    <w:rsid w:val="00D00014"/>
    <w:rsid w:val="00D002AC"/>
    <w:rsid w:val="00D04A72"/>
    <w:rsid w:val="00D05566"/>
    <w:rsid w:val="00D121B2"/>
    <w:rsid w:val="00D13A4B"/>
    <w:rsid w:val="00D13FAA"/>
    <w:rsid w:val="00D20F03"/>
    <w:rsid w:val="00D218D1"/>
    <w:rsid w:val="00D22ACF"/>
    <w:rsid w:val="00D22D0A"/>
    <w:rsid w:val="00D24511"/>
    <w:rsid w:val="00D27D7C"/>
    <w:rsid w:val="00D308C0"/>
    <w:rsid w:val="00D34DC9"/>
    <w:rsid w:val="00D36B01"/>
    <w:rsid w:val="00D40DA4"/>
    <w:rsid w:val="00D438DF"/>
    <w:rsid w:val="00D439E2"/>
    <w:rsid w:val="00D46E63"/>
    <w:rsid w:val="00D515A8"/>
    <w:rsid w:val="00D516EE"/>
    <w:rsid w:val="00D52E58"/>
    <w:rsid w:val="00D54BF4"/>
    <w:rsid w:val="00D60014"/>
    <w:rsid w:val="00D6328F"/>
    <w:rsid w:val="00D666F5"/>
    <w:rsid w:val="00D720A1"/>
    <w:rsid w:val="00D72586"/>
    <w:rsid w:val="00D7289F"/>
    <w:rsid w:val="00D734C6"/>
    <w:rsid w:val="00D77B7F"/>
    <w:rsid w:val="00D80688"/>
    <w:rsid w:val="00D81F6A"/>
    <w:rsid w:val="00D84E72"/>
    <w:rsid w:val="00D864F7"/>
    <w:rsid w:val="00D86B36"/>
    <w:rsid w:val="00D86F84"/>
    <w:rsid w:val="00D908A6"/>
    <w:rsid w:val="00D9115F"/>
    <w:rsid w:val="00D93808"/>
    <w:rsid w:val="00D947DE"/>
    <w:rsid w:val="00D97690"/>
    <w:rsid w:val="00DA1E7B"/>
    <w:rsid w:val="00DA45FF"/>
    <w:rsid w:val="00DA4B11"/>
    <w:rsid w:val="00DB088C"/>
    <w:rsid w:val="00DB7AE1"/>
    <w:rsid w:val="00DC4BCE"/>
    <w:rsid w:val="00DD2D9E"/>
    <w:rsid w:val="00DD3110"/>
    <w:rsid w:val="00DD4C95"/>
    <w:rsid w:val="00DD5BBF"/>
    <w:rsid w:val="00DD66B0"/>
    <w:rsid w:val="00DD6E62"/>
    <w:rsid w:val="00DD7E57"/>
    <w:rsid w:val="00DE02CB"/>
    <w:rsid w:val="00DE0FC6"/>
    <w:rsid w:val="00DE170A"/>
    <w:rsid w:val="00DE7528"/>
    <w:rsid w:val="00DF1AC4"/>
    <w:rsid w:val="00E045FF"/>
    <w:rsid w:val="00E0464E"/>
    <w:rsid w:val="00E04FF9"/>
    <w:rsid w:val="00E050D7"/>
    <w:rsid w:val="00E05270"/>
    <w:rsid w:val="00E072D0"/>
    <w:rsid w:val="00E07755"/>
    <w:rsid w:val="00E10D2E"/>
    <w:rsid w:val="00E12557"/>
    <w:rsid w:val="00E16927"/>
    <w:rsid w:val="00E20EBB"/>
    <w:rsid w:val="00E230C4"/>
    <w:rsid w:val="00E2646E"/>
    <w:rsid w:val="00E31F3D"/>
    <w:rsid w:val="00E3297F"/>
    <w:rsid w:val="00E34DEC"/>
    <w:rsid w:val="00E40312"/>
    <w:rsid w:val="00E423D6"/>
    <w:rsid w:val="00E42C29"/>
    <w:rsid w:val="00E45677"/>
    <w:rsid w:val="00E47249"/>
    <w:rsid w:val="00E473E5"/>
    <w:rsid w:val="00E47F67"/>
    <w:rsid w:val="00E50B7F"/>
    <w:rsid w:val="00E516F7"/>
    <w:rsid w:val="00E525FF"/>
    <w:rsid w:val="00E57256"/>
    <w:rsid w:val="00E57560"/>
    <w:rsid w:val="00E57BAD"/>
    <w:rsid w:val="00E616D6"/>
    <w:rsid w:val="00E62D65"/>
    <w:rsid w:val="00E63343"/>
    <w:rsid w:val="00E649AD"/>
    <w:rsid w:val="00E728CC"/>
    <w:rsid w:val="00E72B7A"/>
    <w:rsid w:val="00E742E5"/>
    <w:rsid w:val="00E7475B"/>
    <w:rsid w:val="00E758C4"/>
    <w:rsid w:val="00E779BF"/>
    <w:rsid w:val="00E80F3C"/>
    <w:rsid w:val="00E8119E"/>
    <w:rsid w:val="00E83AAF"/>
    <w:rsid w:val="00E86932"/>
    <w:rsid w:val="00E87457"/>
    <w:rsid w:val="00E9284F"/>
    <w:rsid w:val="00E9465E"/>
    <w:rsid w:val="00E9767D"/>
    <w:rsid w:val="00EA31E4"/>
    <w:rsid w:val="00EA6B9C"/>
    <w:rsid w:val="00EA7C56"/>
    <w:rsid w:val="00EB188C"/>
    <w:rsid w:val="00EB3A7E"/>
    <w:rsid w:val="00EB7BAB"/>
    <w:rsid w:val="00EC0D67"/>
    <w:rsid w:val="00EC1CA9"/>
    <w:rsid w:val="00ED01D2"/>
    <w:rsid w:val="00ED2058"/>
    <w:rsid w:val="00ED2B7D"/>
    <w:rsid w:val="00EE1761"/>
    <w:rsid w:val="00EF1FE1"/>
    <w:rsid w:val="00F0404A"/>
    <w:rsid w:val="00F041AF"/>
    <w:rsid w:val="00F04AD8"/>
    <w:rsid w:val="00F056DF"/>
    <w:rsid w:val="00F07AEA"/>
    <w:rsid w:val="00F13200"/>
    <w:rsid w:val="00F20158"/>
    <w:rsid w:val="00F2179F"/>
    <w:rsid w:val="00F22DB7"/>
    <w:rsid w:val="00F23383"/>
    <w:rsid w:val="00F2675A"/>
    <w:rsid w:val="00F270BF"/>
    <w:rsid w:val="00F31FD0"/>
    <w:rsid w:val="00F32E68"/>
    <w:rsid w:val="00F350D3"/>
    <w:rsid w:val="00F429A6"/>
    <w:rsid w:val="00F444C8"/>
    <w:rsid w:val="00F44D1A"/>
    <w:rsid w:val="00F47374"/>
    <w:rsid w:val="00F51210"/>
    <w:rsid w:val="00F539C3"/>
    <w:rsid w:val="00F54F32"/>
    <w:rsid w:val="00F56A23"/>
    <w:rsid w:val="00F57079"/>
    <w:rsid w:val="00F575C9"/>
    <w:rsid w:val="00F629CC"/>
    <w:rsid w:val="00F669CB"/>
    <w:rsid w:val="00F6778B"/>
    <w:rsid w:val="00F67F57"/>
    <w:rsid w:val="00F70B2F"/>
    <w:rsid w:val="00F71479"/>
    <w:rsid w:val="00F71D74"/>
    <w:rsid w:val="00F80B15"/>
    <w:rsid w:val="00F822B7"/>
    <w:rsid w:val="00F82ED6"/>
    <w:rsid w:val="00F83F7E"/>
    <w:rsid w:val="00F910FF"/>
    <w:rsid w:val="00F91130"/>
    <w:rsid w:val="00F91A2C"/>
    <w:rsid w:val="00F91BAF"/>
    <w:rsid w:val="00F93EC6"/>
    <w:rsid w:val="00FA006F"/>
    <w:rsid w:val="00FA0A53"/>
    <w:rsid w:val="00FA1641"/>
    <w:rsid w:val="00FA5674"/>
    <w:rsid w:val="00FA7779"/>
    <w:rsid w:val="00FB23BE"/>
    <w:rsid w:val="00FB474F"/>
    <w:rsid w:val="00FC1774"/>
    <w:rsid w:val="00FC1FB9"/>
    <w:rsid w:val="00FC301B"/>
    <w:rsid w:val="00FC74FE"/>
    <w:rsid w:val="00FC794D"/>
    <w:rsid w:val="00FD13D4"/>
    <w:rsid w:val="00FD1969"/>
    <w:rsid w:val="00FD33D9"/>
    <w:rsid w:val="00FD545B"/>
    <w:rsid w:val="00FD5A58"/>
    <w:rsid w:val="00FD65CF"/>
    <w:rsid w:val="00FD7D81"/>
    <w:rsid w:val="00FE0FAD"/>
    <w:rsid w:val="00FE123E"/>
    <w:rsid w:val="00FE4B10"/>
    <w:rsid w:val="00FE4F71"/>
    <w:rsid w:val="00FE56CD"/>
    <w:rsid w:val="00FF337E"/>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852967"/>
  <w15:docId w15:val="{567AFFA9-998F-4FF8-88D9-44F7CFDBE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EastAsia" w:hAnsi="Trebuchet MS" w:cs="Times New Roman"/>
        <w:color w:val="595959"/>
        <w:sz w:val="24"/>
        <w:szCs w:val="24"/>
        <w:lang w:val="en-US" w:eastAsia="en-US" w:bidi="ar-SA"/>
      </w:rPr>
    </w:rPrDefault>
    <w:pPrDefault/>
  </w:docDefaults>
  <w:latentStyles w:defLockedState="0" w:defUIPriority="0" w:defSemiHidden="0" w:defUnhideWhenUsed="0" w:defQFormat="0" w:count="376">
    <w:lsdException w:name="heading 1" w:uiPriority="9"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3A41"/>
    <w:pPr>
      <w:spacing w:before="120" w:after="120" w:line="276" w:lineRule="auto"/>
      <w:jc w:val="both"/>
    </w:pPr>
    <w:rPr>
      <w:sz w:val="22"/>
      <w:lang w:val="en-GB"/>
    </w:rPr>
  </w:style>
  <w:style w:type="paragraph" w:styleId="Heading1">
    <w:name w:val="heading 1"/>
    <w:basedOn w:val="Normal"/>
    <w:next w:val="Normal"/>
    <w:link w:val="Heading1Char"/>
    <w:uiPriority w:val="9"/>
    <w:qFormat/>
    <w:rsid w:val="00885AD7"/>
    <w:pPr>
      <w:numPr>
        <w:numId w:val="5"/>
      </w:numPr>
      <w:pBdr>
        <w:bottom w:val="single" w:sz="4" w:space="31" w:color="929292" w:themeColor="text1" w:themeTint="A6"/>
      </w:pBdr>
      <w:spacing w:after="160"/>
      <w:outlineLvl w:val="0"/>
    </w:pPr>
    <w:rPr>
      <w:rFonts w:eastAsiaTheme="majorEastAsia" w:cstheme="majorBidi"/>
      <w:b/>
      <w:bCs/>
      <w:color w:val="497083"/>
      <w:sz w:val="36"/>
      <w:szCs w:val="32"/>
    </w:rPr>
  </w:style>
  <w:style w:type="paragraph" w:styleId="Heading2">
    <w:name w:val="heading 2"/>
    <w:basedOn w:val="Normal"/>
    <w:next w:val="Normal"/>
    <w:link w:val="Heading2Char"/>
    <w:uiPriority w:val="9"/>
    <w:unhideWhenUsed/>
    <w:qFormat/>
    <w:rsid w:val="00E9465E"/>
    <w:pPr>
      <w:keepNext/>
      <w:keepLines/>
      <w:numPr>
        <w:ilvl w:val="1"/>
        <w:numId w:val="5"/>
      </w:numPr>
      <w:spacing w:before="160" w:after="160"/>
      <w:outlineLvl w:val="1"/>
    </w:pPr>
    <w:rPr>
      <w:rFonts w:eastAsiaTheme="majorEastAsia" w:cstheme="majorBidi"/>
      <w:b/>
      <w:bCs/>
      <w:color w:val="497083"/>
      <w:sz w:val="28"/>
      <w:szCs w:val="26"/>
    </w:rPr>
  </w:style>
  <w:style w:type="paragraph" w:styleId="Heading3">
    <w:name w:val="heading 3"/>
    <w:basedOn w:val="Normal"/>
    <w:next w:val="Normal"/>
    <w:link w:val="Heading3Char"/>
    <w:uiPriority w:val="9"/>
    <w:unhideWhenUsed/>
    <w:qFormat/>
    <w:rsid w:val="006971E3"/>
    <w:pPr>
      <w:keepNext/>
      <w:keepLines/>
      <w:numPr>
        <w:ilvl w:val="2"/>
        <w:numId w:val="5"/>
      </w:numPr>
      <w:outlineLvl w:val="2"/>
    </w:pPr>
    <w:rPr>
      <w:rFonts w:eastAsiaTheme="majorEastAsia" w:cstheme="majorBidi"/>
      <w:b/>
      <w:bCs/>
      <w:color w:val="497083"/>
      <w:sz w:val="28"/>
    </w:rPr>
  </w:style>
  <w:style w:type="paragraph" w:styleId="Heading4">
    <w:name w:val="heading 4"/>
    <w:basedOn w:val="Normal"/>
    <w:next w:val="Normal"/>
    <w:link w:val="Heading4Char"/>
    <w:qFormat/>
    <w:rsid w:val="00F80B15"/>
    <w:pPr>
      <w:keepNext/>
      <w:keepLines/>
      <w:outlineLvl w:val="3"/>
    </w:pPr>
    <w:rPr>
      <w:rFonts w:eastAsiaTheme="majorEastAsia" w:cstheme="majorBidi"/>
      <w:b/>
      <w:bCs/>
      <w:iCs/>
      <w:color w:val="49708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AD7"/>
    <w:rPr>
      <w:rFonts w:eastAsiaTheme="majorEastAsia" w:cstheme="majorBidi"/>
      <w:b/>
      <w:bCs/>
      <w:color w:val="497083"/>
      <w:sz w:val="36"/>
      <w:szCs w:val="32"/>
      <w:lang w:val="en-GB"/>
    </w:rPr>
  </w:style>
  <w:style w:type="character" w:customStyle="1" w:styleId="Heading2Char">
    <w:name w:val="Heading 2 Char"/>
    <w:basedOn w:val="DefaultParagraphFont"/>
    <w:link w:val="Heading2"/>
    <w:uiPriority w:val="9"/>
    <w:rsid w:val="00E9465E"/>
    <w:rPr>
      <w:rFonts w:eastAsiaTheme="majorEastAsia" w:cstheme="majorBidi"/>
      <w:b/>
      <w:bCs/>
      <w:color w:val="497083"/>
      <w:sz w:val="28"/>
      <w:szCs w:val="26"/>
      <w:lang w:val="en-GB"/>
    </w:rPr>
  </w:style>
  <w:style w:type="character" w:customStyle="1" w:styleId="Heading3Char">
    <w:name w:val="Heading 3 Char"/>
    <w:basedOn w:val="DefaultParagraphFont"/>
    <w:link w:val="Heading3"/>
    <w:uiPriority w:val="9"/>
    <w:rsid w:val="006971E3"/>
    <w:rPr>
      <w:rFonts w:eastAsiaTheme="majorEastAsia" w:cstheme="majorBidi"/>
      <w:b/>
      <w:bCs/>
      <w:color w:val="497083"/>
      <w:sz w:val="28"/>
      <w:lang w:val="en-GB"/>
    </w:rPr>
  </w:style>
  <w:style w:type="table" w:styleId="TableGrid">
    <w:name w:val="Table Grid"/>
    <w:basedOn w:val="TableNormal"/>
    <w:rsid w:val="00F23383"/>
    <w:tblPr>
      <w:tblBorders>
        <w:top w:val="single" w:sz="4" w:space="0" w:color="595959" w:themeColor="text1"/>
        <w:left w:val="single" w:sz="4" w:space="0" w:color="595959" w:themeColor="text1"/>
        <w:bottom w:val="single" w:sz="4" w:space="0" w:color="595959" w:themeColor="text1"/>
        <w:right w:val="single" w:sz="4" w:space="0" w:color="595959" w:themeColor="text1"/>
        <w:insideH w:val="single" w:sz="4" w:space="0" w:color="595959" w:themeColor="text1"/>
        <w:insideV w:val="single" w:sz="4" w:space="0" w:color="595959" w:themeColor="text1"/>
      </w:tblBorders>
    </w:tblPr>
    <w:tcPr>
      <w:vAlign w:val="center"/>
    </w:tcPr>
  </w:style>
  <w:style w:type="character" w:customStyle="1" w:styleId="Heading4Char">
    <w:name w:val="Heading 4 Char"/>
    <w:basedOn w:val="DefaultParagraphFont"/>
    <w:link w:val="Heading4"/>
    <w:rsid w:val="00F80B15"/>
    <w:rPr>
      <w:rFonts w:eastAsiaTheme="majorEastAsia" w:cstheme="majorBidi"/>
      <w:b/>
      <w:bCs/>
      <w:iCs/>
      <w:color w:val="497083"/>
      <w:sz w:val="22"/>
      <w:lang w:val="en-GB"/>
    </w:rPr>
  </w:style>
  <w:style w:type="paragraph" w:styleId="Revision">
    <w:name w:val="Revision"/>
    <w:hidden/>
    <w:uiPriority w:val="99"/>
    <w:semiHidden/>
    <w:rsid w:val="00042BA8"/>
  </w:style>
  <w:style w:type="paragraph" w:styleId="Header">
    <w:name w:val="header"/>
    <w:aliases w:val="hd,Header Titlos Prosforas,Name List,ContentsHeader,*Header,he,header,Intestazione testo,heading 3 after h2,h3+,Subheading (body),Topline,ho,header odd,Heade,Titlos Prosforas,h,encabezado,Encabezado1,anexo,Encabezado 2,Header Title Page,~Header"/>
    <w:basedOn w:val="Normal"/>
    <w:link w:val="HeaderChar"/>
    <w:unhideWhenUsed/>
    <w:rsid w:val="00042BA8"/>
    <w:pPr>
      <w:tabs>
        <w:tab w:val="center" w:pos="4320"/>
        <w:tab w:val="right" w:pos="8640"/>
      </w:tabs>
    </w:pPr>
  </w:style>
  <w:style w:type="character" w:customStyle="1" w:styleId="HeaderChar">
    <w:name w:val="Header Char"/>
    <w:aliases w:val="hd Char,Header Titlos Prosforas Char,Name List Char,ContentsHeader Char,*Header Char,he Char,header Char,Intestazione testo Char,heading 3 after h2 Char,h3+ Char,Subheading (body) Char,Topline Char,ho Char,header odd Char,Heade Char,h Char"/>
    <w:basedOn w:val="DefaultParagraphFont"/>
    <w:link w:val="Header"/>
    <w:rsid w:val="00042BA8"/>
  </w:style>
  <w:style w:type="paragraph" w:styleId="Footer">
    <w:name w:val="footer"/>
    <w:basedOn w:val="Normal"/>
    <w:link w:val="FooterChar"/>
    <w:uiPriority w:val="99"/>
    <w:unhideWhenUsed/>
    <w:rsid w:val="00042BA8"/>
    <w:pPr>
      <w:tabs>
        <w:tab w:val="center" w:pos="4320"/>
        <w:tab w:val="right" w:pos="8640"/>
      </w:tabs>
    </w:pPr>
  </w:style>
  <w:style w:type="character" w:customStyle="1" w:styleId="FooterChar">
    <w:name w:val="Footer Char"/>
    <w:basedOn w:val="DefaultParagraphFont"/>
    <w:link w:val="Footer"/>
    <w:uiPriority w:val="99"/>
    <w:rsid w:val="00042BA8"/>
  </w:style>
  <w:style w:type="character" w:styleId="PageNumber">
    <w:name w:val="page number"/>
    <w:basedOn w:val="DefaultParagraphFont"/>
    <w:uiPriority w:val="99"/>
    <w:semiHidden/>
    <w:unhideWhenUsed/>
    <w:rsid w:val="00186A95"/>
  </w:style>
  <w:style w:type="paragraph" w:customStyle="1" w:styleId="Lead">
    <w:name w:val="Lead"/>
    <w:basedOn w:val="Normal"/>
    <w:next w:val="Normal"/>
    <w:qFormat/>
    <w:rsid w:val="005A46AA"/>
    <w:pPr>
      <w:widowControl w:val="0"/>
      <w:autoSpaceDE w:val="0"/>
      <w:autoSpaceDN w:val="0"/>
      <w:adjustRightInd w:val="0"/>
    </w:pPr>
    <w:rPr>
      <w:sz w:val="32"/>
      <w:szCs w:val="42"/>
    </w:rPr>
  </w:style>
  <w:style w:type="table" w:customStyle="1" w:styleId="TableGreen">
    <w:name w:val="Table Green"/>
    <w:basedOn w:val="TableNormal"/>
    <w:qFormat/>
    <w:rsid w:val="00F23383"/>
    <w:pPr>
      <w:jc w:val="right"/>
    </w:pPr>
    <w:rPr>
      <w:rFonts w:eastAsiaTheme="minorHAnsi" w:cstheme="minorBidi"/>
    </w:rPr>
    <w:tblPr>
      <w:tblBorders>
        <w:top w:val="single" w:sz="4" w:space="0" w:color="71A084" w:themeColor="accent1"/>
        <w:left w:val="single" w:sz="4" w:space="0" w:color="71A084" w:themeColor="accent1"/>
        <w:bottom w:val="single" w:sz="4" w:space="0" w:color="71A084" w:themeColor="accent1"/>
        <w:right w:val="single" w:sz="4" w:space="0" w:color="71A084" w:themeColor="accent1"/>
        <w:insideH w:val="single" w:sz="4" w:space="0" w:color="71A084" w:themeColor="accent1"/>
        <w:insideV w:val="single" w:sz="4" w:space="0" w:color="71A084" w:themeColor="accent1"/>
      </w:tblBorders>
    </w:tblPr>
    <w:tcPr>
      <w:vAlign w:val="center"/>
    </w:tcPr>
    <w:tblStylePr w:type="firstRow">
      <w:pPr>
        <w:jc w:val="left"/>
      </w:pPr>
      <w:rPr>
        <w:color w:val="FDF7C6"/>
      </w:rPr>
      <w:tblPr/>
      <w:tcPr>
        <w:tcBorders>
          <w:top w:val="nil"/>
          <w:left w:val="nil"/>
          <w:bottom w:val="single" w:sz="4" w:space="0" w:color="FDF7C6"/>
          <w:right w:val="nil"/>
          <w:insideH w:val="nil"/>
          <w:insideV w:val="single" w:sz="4" w:space="0" w:color="FDF7C6" w:themeColor="background2"/>
          <w:tl2br w:val="nil"/>
          <w:tr2bl w:val="nil"/>
        </w:tcBorders>
        <w:shd w:val="clear" w:color="auto" w:fill="71A084"/>
      </w:tcPr>
    </w:tblStylePr>
    <w:tblStylePr w:type="firstCol">
      <w:pPr>
        <w:jc w:val="left"/>
      </w:pPr>
    </w:tblStylePr>
  </w:style>
  <w:style w:type="table" w:customStyle="1" w:styleId="TableBlue">
    <w:name w:val="Table Blue"/>
    <w:basedOn w:val="TableGreen"/>
    <w:qFormat/>
    <w:rsid w:val="00F23383"/>
    <w:tblPr>
      <w:tblBorders>
        <w:top w:val="single" w:sz="4" w:space="0" w:color="497083"/>
        <w:left w:val="single" w:sz="4" w:space="0" w:color="497083"/>
        <w:bottom w:val="single" w:sz="4" w:space="0" w:color="497083"/>
        <w:right w:val="single" w:sz="4" w:space="0" w:color="497083"/>
        <w:insideH w:val="single" w:sz="4" w:space="0" w:color="497083"/>
        <w:insideV w:val="single" w:sz="4" w:space="0" w:color="497083"/>
      </w:tblBorders>
    </w:tblPr>
    <w:tblStylePr w:type="firstRow">
      <w:pPr>
        <w:jc w:val="left"/>
      </w:pPr>
      <w:rPr>
        <w:color w:val="FDF7C6"/>
      </w:rPr>
      <w:tblPr/>
      <w:tcPr>
        <w:tcBorders>
          <w:top w:val="nil"/>
          <w:left w:val="nil"/>
          <w:bottom w:val="single" w:sz="4" w:space="0" w:color="FDF7C6"/>
          <w:right w:val="nil"/>
          <w:insideH w:val="nil"/>
          <w:insideV w:val="single" w:sz="4" w:space="0" w:color="FDF7C6"/>
          <w:tl2br w:val="nil"/>
          <w:tr2bl w:val="nil"/>
        </w:tcBorders>
        <w:shd w:val="clear" w:color="auto" w:fill="497083"/>
      </w:tcPr>
    </w:tblStylePr>
    <w:tblStylePr w:type="firstCol">
      <w:pPr>
        <w:jc w:val="left"/>
      </w:pPr>
    </w:tblStylePr>
  </w:style>
  <w:style w:type="table" w:customStyle="1" w:styleId="TableBrick">
    <w:name w:val="Table Brick"/>
    <w:basedOn w:val="TableBlue"/>
    <w:qFormat/>
    <w:rsid w:val="00D54BF4"/>
    <w:tblPr>
      <w:tblBorders>
        <w:top w:val="single" w:sz="4" w:space="0" w:color="7B3B45"/>
        <w:left w:val="single" w:sz="4" w:space="0" w:color="7B3B45"/>
        <w:bottom w:val="single" w:sz="4" w:space="0" w:color="7B3B45"/>
        <w:right w:val="single" w:sz="4" w:space="0" w:color="7B3B45"/>
        <w:insideH w:val="single" w:sz="4" w:space="0" w:color="7B3B45"/>
        <w:insideV w:val="single" w:sz="4" w:space="0" w:color="7B3B45"/>
      </w:tblBorders>
    </w:tblPr>
    <w:tblStylePr w:type="firstRow">
      <w:pPr>
        <w:jc w:val="left"/>
      </w:pPr>
      <w:rPr>
        <w:color w:val="FDF7C6"/>
      </w:rPr>
      <w:tblPr/>
      <w:tcPr>
        <w:tcBorders>
          <w:top w:val="nil"/>
          <w:left w:val="nil"/>
          <w:bottom w:val="single" w:sz="4" w:space="0" w:color="FDF7C6"/>
          <w:right w:val="nil"/>
          <w:insideH w:val="nil"/>
          <w:insideV w:val="single" w:sz="4" w:space="0" w:color="FDF7C6" w:themeColor="background2"/>
          <w:tl2br w:val="nil"/>
          <w:tr2bl w:val="nil"/>
        </w:tcBorders>
        <w:shd w:val="clear" w:color="auto" w:fill="7B3B45"/>
      </w:tcPr>
    </w:tblStylePr>
    <w:tblStylePr w:type="firstCol">
      <w:pPr>
        <w:jc w:val="left"/>
      </w:pPr>
    </w:tblStylePr>
  </w:style>
  <w:style w:type="paragraph" w:styleId="TOC1">
    <w:name w:val="toc 1"/>
    <w:basedOn w:val="Normal"/>
    <w:next w:val="Normal"/>
    <w:uiPriority w:val="39"/>
    <w:rsid w:val="006971E3"/>
    <w:pPr>
      <w:tabs>
        <w:tab w:val="right" w:pos="9088"/>
      </w:tabs>
      <w:spacing w:before="240"/>
    </w:pPr>
    <w:rPr>
      <w:rFonts w:eastAsiaTheme="minorHAnsi" w:cstheme="minorBidi"/>
      <w:noProof/>
      <w:color w:val="497083"/>
      <w:u w:val="single"/>
    </w:rPr>
  </w:style>
  <w:style w:type="paragraph" w:styleId="TOC2">
    <w:name w:val="toc 2"/>
    <w:basedOn w:val="Normal"/>
    <w:next w:val="Normal"/>
    <w:uiPriority w:val="39"/>
    <w:rsid w:val="007F47F7"/>
    <w:pPr>
      <w:tabs>
        <w:tab w:val="left" w:pos="907"/>
        <w:tab w:val="right" w:pos="9089"/>
      </w:tabs>
      <w:spacing w:before="180" w:after="60"/>
    </w:pPr>
    <w:rPr>
      <w:rFonts w:eastAsiaTheme="minorHAnsi" w:cstheme="minorBidi"/>
      <w:noProof/>
      <w:color w:val="929292" w:themeColor="text1" w:themeTint="A6"/>
    </w:rPr>
  </w:style>
  <w:style w:type="paragraph" w:styleId="TOC3">
    <w:name w:val="toc 3"/>
    <w:basedOn w:val="TOC2"/>
    <w:next w:val="Normal"/>
    <w:uiPriority w:val="39"/>
    <w:rsid w:val="007F47F7"/>
    <w:pPr>
      <w:spacing w:before="0" w:after="0"/>
    </w:pPr>
    <w:rPr>
      <w:sz w:val="20"/>
    </w:rPr>
  </w:style>
  <w:style w:type="paragraph" w:customStyle="1" w:styleId="ExTOCHeading1">
    <w:name w:val="Ex TOC Heading 1"/>
    <w:qFormat/>
    <w:rsid w:val="00771546"/>
    <w:pPr>
      <w:pageBreakBefore/>
      <w:pBdr>
        <w:bottom w:val="single" w:sz="4" w:space="31" w:color="929292" w:themeColor="text1" w:themeTint="A6"/>
      </w:pBdr>
      <w:spacing w:before="120" w:after="240" w:line="360" w:lineRule="auto"/>
    </w:pPr>
    <w:rPr>
      <w:rFonts w:eastAsiaTheme="majorEastAsia" w:cstheme="majorBidi"/>
      <w:b/>
      <w:bCs/>
      <w:color w:val="4B7083"/>
      <w:sz w:val="48"/>
      <w:szCs w:val="32"/>
    </w:rPr>
  </w:style>
  <w:style w:type="paragraph" w:styleId="ListParagraph">
    <w:name w:val="List Paragraph"/>
    <w:aliases w:val="List Paragraph (numbered (a)),Bullets,List Paragraph Char Char Char,Use Case List Paragraph,List Paragraph2,Main numbered paragraph,Bullet paras,Colorful List - Accent 11,Text,Citation List,References,List Paragraph Aktis,Ha"/>
    <w:basedOn w:val="Normal"/>
    <w:link w:val="ListParagraphChar"/>
    <w:uiPriority w:val="1"/>
    <w:qFormat/>
    <w:rsid w:val="00DD5BBF"/>
    <w:pPr>
      <w:numPr>
        <w:numId w:val="1"/>
      </w:numPr>
      <w:contextualSpacing/>
    </w:pPr>
  </w:style>
  <w:style w:type="character" w:styleId="Hyperlink">
    <w:name w:val="Hyperlink"/>
    <w:uiPriority w:val="99"/>
    <w:rsid w:val="00F13200"/>
    <w:rPr>
      <w:color w:val="0000FF"/>
      <w:u w:val="single"/>
    </w:rPr>
  </w:style>
  <w:style w:type="paragraph" w:styleId="Title">
    <w:name w:val="Title"/>
    <w:basedOn w:val="Normal"/>
    <w:next w:val="Normal"/>
    <w:link w:val="TitleChar"/>
    <w:rsid w:val="006235B6"/>
    <w:pPr>
      <w:ind w:left="4253"/>
      <w:contextualSpacing/>
    </w:pPr>
    <w:rPr>
      <w:rFonts w:eastAsiaTheme="majorEastAsia" w:cstheme="majorBidi"/>
      <w:b/>
      <w:color w:val="497083"/>
      <w:spacing w:val="5"/>
      <w:kern w:val="28"/>
      <w:sz w:val="60"/>
      <w:szCs w:val="52"/>
    </w:rPr>
  </w:style>
  <w:style w:type="paragraph" w:styleId="FootnoteText">
    <w:name w:val="footnote text"/>
    <w:aliases w:val="Footnote Text Char1,Footnote Text Char Char,Char,Char Char Char,Char Char Char Char,Char Char Char Char Char Char,Fußnote,fn,Footnote ak,Footnotes,single space,FOOTNOTES,ALTS FOOTNOTE,f,ADB,ft,footnote text,Voetnoottekst Char,o,12pt"/>
    <w:basedOn w:val="Normal"/>
    <w:link w:val="FootnoteTextChar"/>
    <w:uiPriority w:val="99"/>
    <w:qFormat/>
    <w:rsid w:val="00035C7A"/>
    <w:pPr>
      <w:spacing w:before="0"/>
      <w:ind w:left="142" w:hanging="142"/>
    </w:pPr>
    <w:rPr>
      <w:color w:val="929292" w:themeColor="text1" w:themeTint="A6"/>
      <w:sz w:val="20"/>
    </w:rPr>
  </w:style>
  <w:style w:type="character" w:customStyle="1" w:styleId="FootnoteTextChar">
    <w:name w:val="Footnote Text Char"/>
    <w:aliases w:val="Footnote Text Char1 Char,Footnote Text Char Char Char,Char Char,Char Char Char Char1,Char Char Char Char Char,Char Char Char Char Char Char Char,Fußnote Char,fn Char,Footnote ak Char,Footnotes Char,single space Char,FOOTNOTES Char"/>
    <w:basedOn w:val="DefaultParagraphFont"/>
    <w:link w:val="FootnoteText"/>
    <w:uiPriority w:val="99"/>
    <w:qFormat/>
    <w:rsid w:val="00035C7A"/>
    <w:rPr>
      <w:color w:val="929292" w:themeColor="text1" w:themeTint="A6"/>
      <w:sz w:val="20"/>
    </w:rPr>
  </w:style>
  <w:style w:type="character" w:styleId="FootnoteReference">
    <w:name w:val="footnote reference"/>
    <w:aliases w:val="BVI fnr,BVI fnr Car Car,BVI fnr Car,BVI fnr Car Car Car Car,BVI fnr Car Car Car Car Char Char,BVI fnr Car Car Car Car Char Char Char Char Char,BVI fnr Car Car Car Car Char,SUPERS,List Bullet Char1,ftref,Footnote Reference Number"/>
    <w:basedOn w:val="DefaultParagraphFont"/>
    <w:link w:val="Char2"/>
    <w:uiPriority w:val="99"/>
    <w:qFormat/>
    <w:rsid w:val="004B3011"/>
    <w:rPr>
      <w:vertAlign w:val="superscript"/>
    </w:rPr>
  </w:style>
  <w:style w:type="numbering" w:customStyle="1" w:styleId="listbullets">
    <w:name w:val="listbullets"/>
    <w:rsid w:val="00AA1B16"/>
    <w:pPr>
      <w:numPr>
        <w:numId w:val="2"/>
      </w:numPr>
    </w:pPr>
  </w:style>
  <w:style w:type="paragraph" w:styleId="ListBullet">
    <w:name w:val="List Bullet"/>
    <w:basedOn w:val="Normal"/>
    <w:rsid w:val="00913D9C"/>
    <w:pPr>
      <w:numPr>
        <w:numId w:val="4"/>
      </w:numPr>
      <w:spacing w:before="0" w:after="0"/>
      <w:contextualSpacing/>
    </w:pPr>
  </w:style>
  <w:style w:type="paragraph" w:styleId="ListBullet2">
    <w:name w:val="List Bullet 2"/>
    <w:basedOn w:val="Normal"/>
    <w:rsid w:val="00913D9C"/>
    <w:pPr>
      <w:numPr>
        <w:ilvl w:val="1"/>
        <w:numId w:val="3"/>
      </w:numPr>
      <w:spacing w:before="0" w:after="0"/>
      <w:contextualSpacing/>
    </w:pPr>
  </w:style>
  <w:style w:type="paragraph" w:styleId="ListBullet3">
    <w:name w:val="List Bullet 3"/>
    <w:basedOn w:val="Normal"/>
    <w:rsid w:val="00913D9C"/>
    <w:pPr>
      <w:numPr>
        <w:ilvl w:val="2"/>
        <w:numId w:val="3"/>
      </w:numPr>
      <w:spacing w:before="0" w:after="0"/>
      <w:contextualSpacing/>
    </w:pPr>
  </w:style>
  <w:style w:type="paragraph" w:styleId="Caption">
    <w:name w:val="caption"/>
    <w:basedOn w:val="Normal"/>
    <w:next w:val="Normal"/>
    <w:qFormat/>
    <w:rsid w:val="000F5419"/>
    <w:pPr>
      <w:keepNext/>
      <w:spacing w:after="0"/>
    </w:pPr>
    <w:rPr>
      <w:bCs/>
      <w:color w:val="929292" w:themeColor="text1" w:themeTint="A6"/>
      <w:sz w:val="20"/>
      <w:szCs w:val="18"/>
    </w:rPr>
  </w:style>
  <w:style w:type="paragraph" w:styleId="TableofFigures">
    <w:name w:val="table of figures"/>
    <w:basedOn w:val="TOC2"/>
    <w:next w:val="Normal"/>
    <w:uiPriority w:val="99"/>
    <w:rsid w:val="00407760"/>
    <w:pPr>
      <w:ind w:left="480" w:hanging="480"/>
    </w:pPr>
  </w:style>
  <w:style w:type="character" w:customStyle="1" w:styleId="TitleChar">
    <w:name w:val="Title Char"/>
    <w:basedOn w:val="DefaultParagraphFont"/>
    <w:link w:val="Title"/>
    <w:rsid w:val="006235B6"/>
    <w:rPr>
      <w:rFonts w:eastAsiaTheme="majorEastAsia" w:cstheme="majorBidi"/>
      <w:b/>
      <w:color w:val="497083"/>
      <w:spacing w:val="5"/>
      <w:kern w:val="28"/>
      <w:sz w:val="60"/>
      <w:szCs w:val="52"/>
    </w:rPr>
  </w:style>
  <w:style w:type="paragraph" w:customStyle="1" w:styleId="TitleSub">
    <w:name w:val="Title Sub"/>
    <w:basedOn w:val="Normal"/>
    <w:qFormat/>
    <w:rsid w:val="006235B6"/>
    <w:pPr>
      <w:ind w:left="4253"/>
    </w:pPr>
    <w:rPr>
      <w:color w:val="4B7083"/>
      <w:sz w:val="48"/>
    </w:rPr>
  </w:style>
  <w:style w:type="paragraph" w:customStyle="1" w:styleId="TitleDate">
    <w:name w:val="Title Date"/>
    <w:basedOn w:val="Normal"/>
    <w:qFormat/>
    <w:rsid w:val="006235B6"/>
    <w:pPr>
      <w:ind w:left="4253"/>
    </w:pPr>
    <w:rPr>
      <w:color w:val="4B7083"/>
      <w:sz w:val="36"/>
    </w:rPr>
  </w:style>
  <w:style w:type="character" w:styleId="PlaceholderText">
    <w:name w:val="Placeholder Text"/>
    <w:basedOn w:val="DefaultParagraphFont"/>
    <w:uiPriority w:val="99"/>
    <w:rsid w:val="004513EB"/>
    <w:rPr>
      <w:color w:val="808080"/>
    </w:rPr>
  </w:style>
  <w:style w:type="paragraph" w:styleId="BalloonText">
    <w:name w:val="Balloon Text"/>
    <w:basedOn w:val="Normal"/>
    <w:link w:val="BalloonTextChar"/>
    <w:rsid w:val="004513EB"/>
    <w:pPr>
      <w:spacing w:before="0" w:after="0"/>
    </w:pPr>
    <w:rPr>
      <w:rFonts w:ascii="Tahoma" w:hAnsi="Tahoma" w:cs="Tahoma"/>
      <w:sz w:val="16"/>
      <w:szCs w:val="16"/>
    </w:rPr>
  </w:style>
  <w:style w:type="character" w:customStyle="1" w:styleId="BalloonTextChar">
    <w:name w:val="Balloon Text Char"/>
    <w:basedOn w:val="DefaultParagraphFont"/>
    <w:link w:val="BalloonText"/>
    <w:rsid w:val="004513EB"/>
    <w:rPr>
      <w:rFonts w:ascii="Tahoma" w:hAnsi="Tahoma" w:cs="Tahoma"/>
      <w:sz w:val="16"/>
      <w:szCs w:val="16"/>
      <w:lang w:val="en-GB"/>
    </w:rPr>
  </w:style>
  <w:style w:type="paragraph" w:customStyle="1" w:styleId="1-SESABody">
    <w:name w:val="1 - SESA Body"/>
    <w:basedOn w:val="Normal"/>
    <w:link w:val="1-SESABodyChar"/>
    <w:qFormat/>
    <w:rsid w:val="004035AC"/>
    <w:pPr>
      <w:spacing w:before="0" w:after="200"/>
    </w:pPr>
    <w:rPr>
      <w:rFonts w:ascii="Tahoma" w:eastAsia="SimSun" w:hAnsi="Tahoma" w:cs="Tahoma"/>
      <w:noProof/>
      <w:color w:val="auto"/>
      <w:sz w:val="24"/>
      <w:lang w:val="en-US" w:eastAsia="zh-CN"/>
    </w:rPr>
  </w:style>
  <w:style w:type="character" w:customStyle="1" w:styleId="1-SESABodyChar">
    <w:name w:val="1 - SESA Body Char"/>
    <w:basedOn w:val="DefaultParagraphFont"/>
    <w:link w:val="1-SESABody"/>
    <w:rsid w:val="004035AC"/>
    <w:rPr>
      <w:rFonts w:ascii="Tahoma" w:eastAsia="SimSun" w:hAnsi="Tahoma" w:cs="Tahoma"/>
      <w:noProof/>
      <w:color w:val="auto"/>
      <w:lang w:eastAsia="zh-CN"/>
    </w:rPr>
  </w:style>
  <w:style w:type="character" w:styleId="CommentReference">
    <w:name w:val="annotation reference"/>
    <w:basedOn w:val="DefaultParagraphFont"/>
    <w:uiPriority w:val="99"/>
    <w:rsid w:val="004709BF"/>
    <w:rPr>
      <w:sz w:val="18"/>
      <w:szCs w:val="18"/>
    </w:rPr>
  </w:style>
  <w:style w:type="paragraph" w:styleId="CommentText">
    <w:name w:val="annotation text"/>
    <w:basedOn w:val="Normal"/>
    <w:link w:val="CommentTextChar"/>
    <w:uiPriority w:val="99"/>
    <w:rsid w:val="004709BF"/>
    <w:pPr>
      <w:spacing w:before="0" w:after="200"/>
    </w:pPr>
    <w:rPr>
      <w:rFonts w:ascii="Franklin Gothic Medium" w:hAnsi="Franklin Gothic Medium" w:cstheme="minorBidi"/>
      <w:color w:val="auto"/>
      <w:sz w:val="24"/>
    </w:rPr>
  </w:style>
  <w:style w:type="character" w:customStyle="1" w:styleId="CommentTextChar">
    <w:name w:val="Comment Text Char"/>
    <w:basedOn w:val="DefaultParagraphFont"/>
    <w:link w:val="CommentText"/>
    <w:uiPriority w:val="99"/>
    <w:rsid w:val="004709BF"/>
    <w:rPr>
      <w:rFonts w:ascii="Franklin Gothic Medium" w:hAnsi="Franklin Gothic Medium" w:cstheme="minorBidi"/>
      <w:color w:val="auto"/>
      <w:lang w:val="en-GB"/>
    </w:rPr>
  </w:style>
  <w:style w:type="paragraph" w:customStyle="1" w:styleId="BankNormal">
    <w:name w:val="BankNormal"/>
    <w:basedOn w:val="Normal"/>
    <w:rsid w:val="004709BF"/>
    <w:pPr>
      <w:spacing w:before="0"/>
    </w:pPr>
    <w:rPr>
      <w:rFonts w:ascii="Times New Roman" w:eastAsia="Times New Roman" w:hAnsi="Times New Roman"/>
      <w:color w:val="auto"/>
      <w:sz w:val="24"/>
      <w:szCs w:val="20"/>
      <w:lang w:val="en-US"/>
    </w:rPr>
  </w:style>
  <w:style w:type="paragraph" w:customStyle="1" w:styleId="ECoNormal">
    <w:name w:val="E Co. Normal"/>
    <w:basedOn w:val="Normal"/>
    <w:next w:val="Normal"/>
    <w:link w:val="ECoNormalChar"/>
    <w:qFormat/>
    <w:rsid w:val="00FA006F"/>
    <w:rPr>
      <w:szCs w:val="22"/>
      <w:lang w:val="en-US"/>
    </w:rPr>
  </w:style>
  <w:style w:type="paragraph" w:styleId="CommentSubject">
    <w:name w:val="annotation subject"/>
    <w:basedOn w:val="CommentText"/>
    <w:next w:val="CommentText"/>
    <w:link w:val="CommentSubjectChar"/>
    <w:semiHidden/>
    <w:unhideWhenUsed/>
    <w:rsid w:val="002A040F"/>
    <w:pPr>
      <w:spacing w:before="120" w:after="240" w:line="240" w:lineRule="auto"/>
    </w:pPr>
    <w:rPr>
      <w:rFonts w:ascii="Trebuchet MS" w:hAnsi="Trebuchet MS" w:cs="Times New Roman"/>
      <w:b/>
      <w:bCs/>
      <w:color w:val="595959"/>
      <w:sz w:val="20"/>
      <w:szCs w:val="20"/>
    </w:rPr>
  </w:style>
  <w:style w:type="character" w:customStyle="1" w:styleId="CommentSubjectChar">
    <w:name w:val="Comment Subject Char"/>
    <w:basedOn w:val="CommentTextChar"/>
    <w:link w:val="CommentSubject"/>
    <w:semiHidden/>
    <w:rsid w:val="002A040F"/>
    <w:rPr>
      <w:rFonts w:ascii="Franklin Gothic Medium" w:hAnsi="Franklin Gothic Medium" w:cstheme="minorBidi"/>
      <w:b/>
      <w:bCs/>
      <w:color w:val="auto"/>
      <w:sz w:val="20"/>
      <w:szCs w:val="20"/>
      <w:lang w:val="en-GB"/>
    </w:rPr>
  </w:style>
  <w:style w:type="paragraph" w:styleId="BodyText2">
    <w:name w:val="Body Text 2"/>
    <w:basedOn w:val="Normal"/>
    <w:link w:val="BodyText2Char"/>
    <w:rsid w:val="000B2D05"/>
    <w:pPr>
      <w:spacing w:before="0" w:line="480" w:lineRule="auto"/>
    </w:pPr>
    <w:rPr>
      <w:rFonts w:ascii="Times New Roman" w:eastAsia="Malgun Gothic" w:hAnsi="Times New Roman"/>
      <w:color w:val="auto"/>
      <w:sz w:val="24"/>
      <w:lang w:val="en-US"/>
    </w:rPr>
  </w:style>
  <w:style w:type="character" w:customStyle="1" w:styleId="BodyText2Char">
    <w:name w:val="Body Text 2 Char"/>
    <w:basedOn w:val="DefaultParagraphFont"/>
    <w:link w:val="BodyText2"/>
    <w:rsid w:val="000B2D05"/>
    <w:rPr>
      <w:rFonts w:ascii="Times New Roman" w:eastAsia="Malgun Gothic" w:hAnsi="Times New Roman"/>
      <w:color w:val="auto"/>
    </w:rPr>
  </w:style>
  <w:style w:type="paragraph" w:customStyle="1" w:styleId="Default">
    <w:name w:val="Default"/>
    <w:rsid w:val="00D9115F"/>
    <w:pPr>
      <w:autoSpaceDE w:val="0"/>
      <w:autoSpaceDN w:val="0"/>
      <w:adjustRightInd w:val="0"/>
    </w:pPr>
    <w:rPr>
      <w:rFonts w:ascii="Times New Roman" w:hAnsi="Times New Roman"/>
      <w:color w:val="000000"/>
      <w:lang w:val="en-GB"/>
    </w:rPr>
  </w:style>
  <w:style w:type="paragraph" w:customStyle="1" w:styleId="ECoTitle1">
    <w:name w:val="E Co. Title1"/>
    <w:basedOn w:val="Normal"/>
    <w:qFormat/>
    <w:rsid w:val="000E2B60"/>
    <w:pPr>
      <w:spacing w:before="0" w:after="200"/>
      <w:ind w:left="4253"/>
    </w:pPr>
    <w:rPr>
      <w:b/>
      <w:color w:val="4B7083"/>
      <w:sz w:val="60"/>
      <w:szCs w:val="60"/>
      <w:lang w:val="en-US"/>
    </w:rPr>
  </w:style>
  <w:style w:type="character" w:customStyle="1" w:styleId="ECoNormalChar">
    <w:name w:val="E Co. Normal Char"/>
    <w:basedOn w:val="DefaultParagraphFont"/>
    <w:link w:val="ECoNormal"/>
    <w:rsid w:val="00FA006F"/>
    <w:rPr>
      <w:sz w:val="22"/>
      <w:szCs w:val="22"/>
    </w:rPr>
  </w:style>
  <w:style w:type="table" w:styleId="GridTable1Light-Accent1">
    <w:name w:val="Grid Table 1 Light Accent 1"/>
    <w:basedOn w:val="TableNormal"/>
    <w:uiPriority w:val="46"/>
    <w:rsid w:val="00736AC5"/>
    <w:tblPr>
      <w:tblStyleRowBandSize w:val="1"/>
      <w:tblStyleColBandSize w:val="1"/>
      <w:tblBorders>
        <w:top w:val="single" w:sz="4" w:space="0" w:color="C6D9CD" w:themeColor="accent1" w:themeTint="66"/>
        <w:left w:val="single" w:sz="4" w:space="0" w:color="C6D9CD" w:themeColor="accent1" w:themeTint="66"/>
        <w:bottom w:val="single" w:sz="4" w:space="0" w:color="C6D9CD" w:themeColor="accent1" w:themeTint="66"/>
        <w:right w:val="single" w:sz="4" w:space="0" w:color="C6D9CD" w:themeColor="accent1" w:themeTint="66"/>
        <w:insideH w:val="single" w:sz="4" w:space="0" w:color="C6D9CD" w:themeColor="accent1" w:themeTint="66"/>
        <w:insideV w:val="single" w:sz="4" w:space="0" w:color="C6D9CD" w:themeColor="accent1" w:themeTint="66"/>
      </w:tblBorders>
    </w:tblPr>
    <w:tblStylePr w:type="firstRow">
      <w:rPr>
        <w:b/>
        <w:bCs/>
      </w:rPr>
      <w:tblPr/>
      <w:tcPr>
        <w:tcBorders>
          <w:bottom w:val="single" w:sz="12" w:space="0" w:color="A9C6B5" w:themeColor="accent1" w:themeTint="99"/>
        </w:tcBorders>
      </w:tcPr>
    </w:tblStylePr>
    <w:tblStylePr w:type="lastRow">
      <w:rPr>
        <w:b/>
        <w:bCs/>
      </w:rPr>
      <w:tblPr/>
      <w:tcPr>
        <w:tcBorders>
          <w:top w:val="double" w:sz="2" w:space="0" w:color="A9C6B5" w:themeColor="accent1" w:themeTint="99"/>
        </w:tcBorders>
      </w:tcPr>
    </w:tblStylePr>
    <w:tblStylePr w:type="firstCol">
      <w:rPr>
        <w:b/>
        <w:bCs/>
      </w:rPr>
    </w:tblStylePr>
    <w:tblStylePr w:type="lastCol">
      <w:rPr>
        <w:b/>
        <w:bCs/>
      </w:rPr>
    </w:tblStylePr>
  </w:style>
  <w:style w:type="character" w:customStyle="1" w:styleId="ListParagraphChar">
    <w:name w:val="List Paragraph Char"/>
    <w:aliases w:val="List Paragraph (numbered (a)) Char,Bullets Char,List Paragraph Char Char Char Char,Use Case List Paragraph Char,List Paragraph2 Char,Main numbered paragraph Char,Bullet paras Char,Colorful List - Accent 11 Char,Text Char,Ha Char"/>
    <w:basedOn w:val="DefaultParagraphFont"/>
    <w:link w:val="ListParagraph"/>
    <w:uiPriority w:val="1"/>
    <w:qFormat/>
    <w:rsid w:val="00531CF5"/>
    <w:rPr>
      <w:sz w:val="22"/>
      <w:lang w:val="en-GB"/>
    </w:rPr>
  </w:style>
  <w:style w:type="paragraph" w:customStyle="1" w:styleId="Char2">
    <w:name w:val="Char2"/>
    <w:basedOn w:val="Normal"/>
    <w:link w:val="FootnoteReference"/>
    <w:uiPriority w:val="99"/>
    <w:rsid w:val="006A24E8"/>
    <w:pPr>
      <w:spacing w:after="160" w:line="240" w:lineRule="exact"/>
      <w:jc w:val="left"/>
    </w:pPr>
    <w:rPr>
      <w:sz w:val="24"/>
      <w:vertAlign w:val="superscript"/>
      <w:lang w:val="en-US"/>
    </w:rPr>
  </w:style>
  <w:style w:type="paragraph" w:customStyle="1" w:styleId="Graph">
    <w:name w:val="Graph"/>
    <w:basedOn w:val="Normal"/>
    <w:qFormat/>
    <w:rsid w:val="00C63E76"/>
    <w:pPr>
      <w:spacing w:before="40" w:after="0"/>
      <w:jc w:val="center"/>
    </w:pPr>
    <w:rPr>
      <w:rFonts w:asciiTheme="minorHAnsi" w:eastAsia="Calibri" w:hAnsiTheme="minorHAnsi"/>
      <w:i/>
      <w:color w:val="828282" w:themeColor="text1" w:themeTint="BF"/>
      <w:sz w:val="18"/>
      <w:szCs w:val="22"/>
      <w:u w:val="single"/>
      <w:lang w:eastAsia="fr-FR"/>
    </w:rPr>
  </w:style>
  <w:style w:type="paragraph" w:styleId="Subtitle">
    <w:name w:val="Subtitle"/>
    <w:basedOn w:val="Normal"/>
    <w:next w:val="Normal"/>
    <w:link w:val="SubtitleChar"/>
    <w:qFormat/>
    <w:rsid w:val="00603E1A"/>
    <w:pPr>
      <w:numPr>
        <w:ilvl w:val="1"/>
      </w:numPr>
    </w:pPr>
    <w:rPr>
      <w:rFonts w:asciiTheme="minorHAnsi" w:eastAsia="Times New Roman" w:hAnsiTheme="minorHAnsi"/>
      <w:b/>
      <w:iCs/>
      <w:color w:val="828282" w:themeColor="text1" w:themeTint="BF"/>
      <w:spacing w:val="15"/>
      <w:lang w:val="en-US" w:eastAsia="fr-FR"/>
    </w:rPr>
  </w:style>
  <w:style w:type="character" w:customStyle="1" w:styleId="SubtitleChar">
    <w:name w:val="Subtitle Char"/>
    <w:basedOn w:val="DefaultParagraphFont"/>
    <w:link w:val="Subtitle"/>
    <w:rsid w:val="00603E1A"/>
    <w:rPr>
      <w:rFonts w:asciiTheme="minorHAnsi" w:eastAsia="Times New Roman" w:hAnsiTheme="minorHAnsi"/>
      <w:b/>
      <w:iCs/>
      <w:color w:val="828282" w:themeColor="text1" w:themeTint="BF"/>
      <w:spacing w:val="15"/>
      <w:sz w:val="22"/>
      <w:lang w:eastAsia="fr-FR"/>
    </w:rPr>
  </w:style>
  <w:style w:type="character" w:styleId="UnresolvedMention">
    <w:name w:val="Unresolved Mention"/>
    <w:basedOn w:val="DefaultParagraphFont"/>
    <w:uiPriority w:val="99"/>
    <w:semiHidden/>
    <w:unhideWhenUsed/>
    <w:rsid w:val="00765193"/>
    <w:rPr>
      <w:color w:val="605E5C"/>
      <w:shd w:val="clear" w:color="auto" w:fill="E1DFDD"/>
    </w:rPr>
  </w:style>
  <w:style w:type="paragraph" w:styleId="NormalWeb">
    <w:name w:val="Normal (Web)"/>
    <w:basedOn w:val="Normal"/>
    <w:uiPriority w:val="99"/>
    <w:semiHidden/>
    <w:unhideWhenUsed/>
    <w:rsid w:val="00F270BF"/>
    <w:pPr>
      <w:spacing w:before="100" w:beforeAutospacing="1" w:after="100" w:afterAutospacing="1"/>
      <w:jc w:val="left"/>
    </w:pPr>
    <w:rPr>
      <w:rFonts w:ascii="Times New Roman" w:eastAsia="Times New Roman" w:hAnsi="Times New Roman"/>
      <w:color w:val="auto"/>
      <w:sz w:val="24"/>
      <w:lang w:val="fr-BE" w:eastAsia="fr-FR"/>
    </w:rPr>
  </w:style>
  <w:style w:type="paragraph" w:styleId="BodyText">
    <w:name w:val="Body Text"/>
    <w:basedOn w:val="Normal"/>
    <w:link w:val="BodyTextChar"/>
    <w:semiHidden/>
    <w:unhideWhenUsed/>
    <w:rsid w:val="006F4C4A"/>
  </w:style>
  <w:style w:type="character" w:customStyle="1" w:styleId="BodyTextChar">
    <w:name w:val="Body Text Char"/>
    <w:basedOn w:val="DefaultParagraphFont"/>
    <w:link w:val="BodyText"/>
    <w:semiHidden/>
    <w:rsid w:val="006F4C4A"/>
    <w:rPr>
      <w:sz w:val="22"/>
      <w:lang w:val="en-GB"/>
    </w:rPr>
  </w:style>
  <w:style w:type="paragraph" w:customStyle="1" w:styleId="FootnotesymbolCharCharCharChar">
    <w:name w:val="Footnote symbol Char Char Char Char"/>
    <w:aliases w:val="Footnote reference number Char Char Char Char,Times 10 Point Char Char Char Char,Exposant 3 Point Char Char Char Char,Ref Char Char Char Char,de nota al pie Char Char Char Char,Footer Char2"/>
    <w:basedOn w:val="Normal"/>
    <w:uiPriority w:val="99"/>
    <w:rsid w:val="00516617"/>
    <w:pPr>
      <w:spacing w:before="200"/>
    </w:pPr>
    <w:rPr>
      <w:rFonts w:asciiTheme="minorHAnsi" w:eastAsiaTheme="minorHAnsi" w:hAnsiTheme="minorHAnsi" w:cstheme="minorBidi"/>
      <w:color w:val="auto"/>
      <w:szCs w:val="22"/>
      <w:vertAlign w:val="superscript"/>
      <w:lang w:val="fr-LU"/>
    </w:rPr>
  </w:style>
  <w:style w:type="character" w:styleId="FollowedHyperlink">
    <w:name w:val="FollowedHyperlink"/>
    <w:basedOn w:val="DefaultParagraphFont"/>
    <w:semiHidden/>
    <w:unhideWhenUsed/>
    <w:rsid w:val="00F44D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4740">
      <w:bodyDiv w:val="1"/>
      <w:marLeft w:val="0"/>
      <w:marRight w:val="0"/>
      <w:marTop w:val="0"/>
      <w:marBottom w:val="0"/>
      <w:divBdr>
        <w:top w:val="none" w:sz="0" w:space="0" w:color="auto"/>
        <w:left w:val="none" w:sz="0" w:space="0" w:color="auto"/>
        <w:bottom w:val="none" w:sz="0" w:space="0" w:color="auto"/>
        <w:right w:val="none" w:sz="0" w:space="0" w:color="auto"/>
      </w:divBdr>
    </w:div>
    <w:div w:id="27609424">
      <w:bodyDiv w:val="1"/>
      <w:marLeft w:val="0"/>
      <w:marRight w:val="0"/>
      <w:marTop w:val="0"/>
      <w:marBottom w:val="0"/>
      <w:divBdr>
        <w:top w:val="none" w:sz="0" w:space="0" w:color="auto"/>
        <w:left w:val="none" w:sz="0" w:space="0" w:color="auto"/>
        <w:bottom w:val="none" w:sz="0" w:space="0" w:color="auto"/>
        <w:right w:val="none" w:sz="0" w:space="0" w:color="auto"/>
      </w:divBdr>
      <w:divsChild>
        <w:div w:id="1919360171">
          <w:marLeft w:val="0"/>
          <w:marRight w:val="0"/>
          <w:marTop w:val="0"/>
          <w:marBottom w:val="0"/>
          <w:divBdr>
            <w:top w:val="none" w:sz="0" w:space="0" w:color="auto"/>
            <w:left w:val="none" w:sz="0" w:space="0" w:color="auto"/>
            <w:bottom w:val="none" w:sz="0" w:space="0" w:color="auto"/>
            <w:right w:val="none" w:sz="0" w:space="0" w:color="auto"/>
          </w:divBdr>
        </w:div>
        <w:div w:id="1690641586">
          <w:marLeft w:val="0"/>
          <w:marRight w:val="0"/>
          <w:marTop w:val="0"/>
          <w:marBottom w:val="0"/>
          <w:divBdr>
            <w:top w:val="none" w:sz="0" w:space="0" w:color="auto"/>
            <w:left w:val="none" w:sz="0" w:space="0" w:color="auto"/>
            <w:bottom w:val="none" w:sz="0" w:space="0" w:color="auto"/>
            <w:right w:val="none" w:sz="0" w:space="0" w:color="auto"/>
          </w:divBdr>
        </w:div>
        <w:div w:id="1658923711">
          <w:marLeft w:val="0"/>
          <w:marRight w:val="0"/>
          <w:marTop w:val="0"/>
          <w:marBottom w:val="0"/>
          <w:divBdr>
            <w:top w:val="none" w:sz="0" w:space="0" w:color="auto"/>
            <w:left w:val="none" w:sz="0" w:space="0" w:color="auto"/>
            <w:bottom w:val="none" w:sz="0" w:space="0" w:color="auto"/>
            <w:right w:val="none" w:sz="0" w:space="0" w:color="auto"/>
          </w:divBdr>
        </w:div>
        <w:div w:id="1669362754">
          <w:marLeft w:val="0"/>
          <w:marRight w:val="0"/>
          <w:marTop w:val="0"/>
          <w:marBottom w:val="0"/>
          <w:divBdr>
            <w:top w:val="none" w:sz="0" w:space="0" w:color="auto"/>
            <w:left w:val="none" w:sz="0" w:space="0" w:color="auto"/>
            <w:bottom w:val="none" w:sz="0" w:space="0" w:color="auto"/>
            <w:right w:val="none" w:sz="0" w:space="0" w:color="auto"/>
          </w:divBdr>
        </w:div>
        <w:div w:id="1096436906">
          <w:marLeft w:val="0"/>
          <w:marRight w:val="0"/>
          <w:marTop w:val="0"/>
          <w:marBottom w:val="0"/>
          <w:divBdr>
            <w:top w:val="none" w:sz="0" w:space="0" w:color="auto"/>
            <w:left w:val="none" w:sz="0" w:space="0" w:color="auto"/>
            <w:bottom w:val="none" w:sz="0" w:space="0" w:color="auto"/>
            <w:right w:val="none" w:sz="0" w:space="0" w:color="auto"/>
          </w:divBdr>
        </w:div>
        <w:div w:id="905995168">
          <w:marLeft w:val="0"/>
          <w:marRight w:val="0"/>
          <w:marTop w:val="0"/>
          <w:marBottom w:val="0"/>
          <w:divBdr>
            <w:top w:val="none" w:sz="0" w:space="0" w:color="auto"/>
            <w:left w:val="none" w:sz="0" w:space="0" w:color="auto"/>
            <w:bottom w:val="none" w:sz="0" w:space="0" w:color="auto"/>
            <w:right w:val="none" w:sz="0" w:space="0" w:color="auto"/>
          </w:divBdr>
        </w:div>
        <w:div w:id="509685149">
          <w:marLeft w:val="0"/>
          <w:marRight w:val="0"/>
          <w:marTop w:val="0"/>
          <w:marBottom w:val="0"/>
          <w:divBdr>
            <w:top w:val="none" w:sz="0" w:space="0" w:color="auto"/>
            <w:left w:val="none" w:sz="0" w:space="0" w:color="auto"/>
            <w:bottom w:val="none" w:sz="0" w:space="0" w:color="auto"/>
            <w:right w:val="none" w:sz="0" w:space="0" w:color="auto"/>
          </w:divBdr>
        </w:div>
        <w:div w:id="85153706">
          <w:marLeft w:val="0"/>
          <w:marRight w:val="0"/>
          <w:marTop w:val="0"/>
          <w:marBottom w:val="0"/>
          <w:divBdr>
            <w:top w:val="none" w:sz="0" w:space="0" w:color="auto"/>
            <w:left w:val="none" w:sz="0" w:space="0" w:color="auto"/>
            <w:bottom w:val="none" w:sz="0" w:space="0" w:color="auto"/>
            <w:right w:val="none" w:sz="0" w:space="0" w:color="auto"/>
          </w:divBdr>
        </w:div>
        <w:div w:id="1140541026">
          <w:marLeft w:val="0"/>
          <w:marRight w:val="0"/>
          <w:marTop w:val="0"/>
          <w:marBottom w:val="0"/>
          <w:divBdr>
            <w:top w:val="none" w:sz="0" w:space="0" w:color="auto"/>
            <w:left w:val="none" w:sz="0" w:space="0" w:color="auto"/>
            <w:bottom w:val="none" w:sz="0" w:space="0" w:color="auto"/>
            <w:right w:val="none" w:sz="0" w:space="0" w:color="auto"/>
          </w:divBdr>
        </w:div>
        <w:div w:id="929122372">
          <w:marLeft w:val="0"/>
          <w:marRight w:val="0"/>
          <w:marTop w:val="0"/>
          <w:marBottom w:val="0"/>
          <w:divBdr>
            <w:top w:val="none" w:sz="0" w:space="0" w:color="auto"/>
            <w:left w:val="none" w:sz="0" w:space="0" w:color="auto"/>
            <w:bottom w:val="none" w:sz="0" w:space="0" w:color="auto"/>
            <w:right w:val="none" w:sz="0" w:space="0" w:color="auto"/>
          </w:divBdr>
        </w:div>
        <w:div w:id="1986202267">
          <w:marLeft w:val="0"/>
          <w:marRight w:val="0"/>
          <w:marTop w:val="0"/>
          <w:marBottom w:val="0"/>
          <w:divBdr>
            <w:top w:val="none" w:sz="0" w:space="0" w:color="auto"/>
            <w:left w:val="none" w:sz="0" w:space="0" w:color="auto"/>
            <w:bottom w:val="none" w:sz="0" w:space="0" w:color="auto"/>
            <w:right w:val="none" w:sz="0" w:space="0" w:color="auto"/>
          </w:divBdr>
        </w:div>
        <w:div w:id="1993480889">
          <w:marLeft w:val="0"/>
          <w:marRight w:val="0"/>
          <w:marTop w:val="0"/>
          <w:marBottom w:val="0"/>
          <w:divBdr>
            <w:top w:val="none" w:sz="0" w:space="0" w:color="auto"/>
            <w:left w:val="none" w:sz="0" w:space="0" w:color="auto"/>
            <w:bottom w:val="none" w:sz="0" w:space="0" w:color="auto"/>
            <w:right w:val="none" w:sz="0" w:space="0" w:color="auto"/>
          </w:divBdr>
        </w:div>
      </w:divsChild>
    </w:div>
    <w:div w:id="40249303">
      <w:bodyDiv w:val="1"/>
      <w:marLeft w:val="0"/>
      <w:marRight w:val="0"/>
      <w:marTop w:val="0"/>
      <w:marBottom w:val="0"/>
      <w:divBdr>
        <w:top w:val="none" w:sz="0" w:space="0" w:color="auto"/>
        <w:left w:val="none" w:sz="0" w:space="0" w:color="auto"/>
        <w:bottom w:val="none" w:sz="0" w:space="0" w:color="auto"/>
        <w:right w:val="none" w:sz="0" w:space="0" w:color="auto"/>
      </w:divBdr>
    </w:div>
    <w:div w:id="42826606">
      <w:bodyDiv w:val="1"/>
      <w:marLeft w:val="0"/>
      <w:marRight w:val="0"/>
      <w:marTop w:val="0"/>
      <w:marBottom w:val="0"/>
      <w:divBdr>
        <w:top w:val="none" w:sz="0" w:space="0" w:color="auto"/>
        <w:left w:val="none" w:sz="0" w:space="0" w:color="auto"/>
        <w:bottom w:val="none" w:sz="0" w:space="0" w:color="auto"/>
        <w:right w:val="none" w:sz="0" w:space="0" w:color="auto"/>
      </w:divBdr>
      <w:divsChild>
        <w:div w:id="32341196">
          <w:marLeft w:val="0"/>
          <w:marRight w:val="0"/>
          <w:marTop w:val="0"/>
          <w:marBottom w:val="0"/>
          <w:divBdr>
            <w:top w:val="none" w:sz="0" w:space="0" w:color="auto"/>
            <w:left w:val="none" w:sz="0" w:space="0" w:color="auto"/>
            <w:bottom w:val="none" w:sz="0" w:space="0" w:color="auto"/>
            <w:right w:val="none" w:sz="0" w:space="0" w:color="auto"/>
          </w:divBdr>
        </w:div>
        <w:div w:id="1363238441">
          <w:marLeft w:val="0"/>
          <w:marRight w:val="0"/>
          <w:marTop w:val="0"/>
          <w:marBottom w:val="0"/>
          <w:divBdr>
            <w:top w:val="none" w:sz="0" w:space="0" w:color="auto"/>
            <w:left w:val="none" w:sz="0" w:space="0" w:color="auto"/>
            <w:bottom w:val="none" w:sz="0" w:space="0" w:color="auto"/>
            <w:right w:val="none" w:sz="0" w:space="0" w:color="auto"/>
          </w:divBdr>
        </w:div>
      </w:divsChild>
    </w:div>
    <w:div w:id="50664633">
      <w:bodyDiv w:val="1"/>
      <w:marLeft w:val="0"/>
      <w:marRight w:val="0"/>
      <w:marTop w:val="0"/>
      <w:marBottom w:val="0"/>
      <w:divBdr>
        <w:top w:val="none" w:sz="0" w:space="0" w:color="auto"/>
        <w:left w:val="none" w:sz="0" w:space="0" w:color="auto"/>
        <w:bottom w:val="none" w:sz="0" w:space="0" w:color="auto"/>
        <w:right w:val="none" w:sz="0" w:space="0" w:color="auto"/>
      </w:divBdr>
    </w:div>
    <w:div w:id="170336502">
      <w:bodyDiv w:val="1"/>
      <w:marLeft w:val="0"/>
      <w:marRight w:val="0"/>
      <w:marTop w:val="0"/>
      <w:marBottom w:val="0"/>
      <w:divBdr>
        <w:top w:val="none" w:sz="0" w:space="0" w:color="auto"/>
        <w:left w:val="none" w:sz="0" w:space="0" w:color="auto"/>
        <w:bottom w:val="none" w:sz="0" w:space="0" w:color="auto"/>
        <w:right w:val="none" w:sz="0" w:space="0" w:color="auto"/>
      </w:divBdr>
    </w:div>
    <w:div w:id="201787426">
      <w:bodyDiv w:val="1"/>
      <w:marLeft w:val="0"/>
      <w:marRight w:val="0"/>
      <w:marTop w:val="0"/>
      <w:marBottom w:val="0"/>
      <w:divBdr>
        <w:top w:val="none" w:sz="0" w:space="0" w:color="auto"/>
        <w:left w:val="none" w:sz="0" w:space="0" w:color="auto"/>
        <w:bottom w:val="none" w:sz="0" w:space="0" w:color="auto"/>
        <w:right w:val="none" w:sz="0" w:space="0" w:color="auto"/>
      </w:divBdr>
    </w:div>
    <w:div w:id="219632584">
      <w:bodyDiv w:val="1"/>
      <w:marLeft w:val="0"/>
      <w:marRight w:val="0"/>
      <w:marTop w:val="0"/>
      <w:marBottom w:val="0"/>
      <w:divBdr>
        <w:top w:val="none" w:sz="0" w:space="0" w:color="auto"/>
        <w:left w:val="none" w:sz="0" w:space="0" w:color="auto"/>
        <w:bottom w:val="none" w:sz="0" w:space="0" w:color="auto"/>
        <w:right w:val="none" w:sz="0" w:space="0" w:color="auto"/>
      </w:divBdr>
    </w:div>
    <w:div w:id="230390927">
      <w:bodyDiv w:val="1"/>
      <w:marLeft w:val="0"/>
      <w:marRight w:val="0"/>
      <w:marTop w:val="0"/>
      <w:marBottom w:val="0"/>
      <w:divBdr>
        <w:top w:val="none" w:sz="0" w:space="0" w:color="auto"/>
        <w:left w:val="none" w:sz="0" w:space="0" w:color="auto"/>
        <w:bottom w:val="none" w:sz="0" w:space="0" w:color="auto"/>
        <w:right w:val="none" w:sz="0" w:space="0" w:color="auto"/>
      </w:divBdr>
      <w:divsChild>
        <w:div w:id="1584071867">
          <w:marLeft w:val="0"/>
          <w:marRight w:val="0"/>
          <w:marTop w:val="0"/>
          <w:marBottom w:val="0"/>
          <w:divBdr>
            <w:top w:val="none" w:sz="0" w:space="0" w:color="auto"/>
            <w:left w:val="none" w:sz="0" w:space="0" w:color="auto"/>
            <w:bottom w:val="none" w:sz="0" w:space="0" w:color="auto"/>
            <w:right w:val="none" w:sz="0" w:space="0" w:color="auto"/>
          </w:divBdr>
        </w:div>
        <w:div w:id="117189039">
          <w:marLeft w:val="0"/>
          <w:marRight w:val="0"/>
          <w:marTop w:val="0"/>
          <w:marBottom w:val="0"/>
          <w:divBdr>
            <w:top w:val="none" w:sz="0" w:space="0" w:color="auto"/>
            <w:left w:val="none" w:sz="0" w:space="0" w:color="auto"/>
            <w:bottom w:val="none" w:sz="0" w:space="0" w:color="auto"/>
            <w:right w:val="none" w:sz="0" w:space="0" w:color="auto"/>
          </w:divBdr>
        </w:div>
      </w:divsChild>
    </w:div>
    <w:div w:id="284966968">
      <w:bodyDiv w:val="1"/>
      <w:marLeft w:val="0"/>
      <w:marRight w:val="0"/>
      <w:marTop w:val="0"/>
      <w:marBottom w:val="0"/>
      <w:divBdr>
        <w:top w:val="none" w:sz="0" w:space="0" w:color="auto"/>
        <w:left w:val="none" w:sz="0" w:space="0" w:color="auto"/>
        <w:bottom w:val="none" w:sz="0" w:space="0" w:color="auto"/>
        <w:right w:val="none" w:sz="0" w:space="0" w:color="auto"/>
      </w:divBdr>
      <w:divsChild>
        <w:div w:id="254753858">
          <w:marLeft w:val="547"/>
          <w:marRight w:val="0"/>
          <w:marTop w:val="0"/>
          <w:marBottom w:val="0"/>
          <w:divBdr>
            <w:top w:val="none" w:sz="0" w:space="0" w:color="auto"/>
            <w:left w:val="none" w:sz="0" w:space="0" w:color="auto"/>
            <w:bottom w:val="none" w:sz="0" w:space="0" w:color="auto"/>
            <w:right w:val="none" w:sz="0" w:space="0" w:color="auto"/>
          </w:divBdr>
        </w:div>
        <w:div w:id="1310941308">
          <w:marLeft w:val="547"/>
          <w:marRight w:val="0"/>
          <w:marTop w:val="0"/>
          <w:marBottom w:val="0"/>
          <w:divBdr>
            <w:top w:val="none" w:sz="0" w:space="0" w:color="auto"/>
            <w:left w:val="none" w:sz="0" w:space="0" w:color="auto"/>
            <w:bottom w:val="none" w:sz="0" w:space="0" w:color="auto"/>
            <w:right w:val="none" w:sz="0" w:space="0" w:color="auto"/>
          </w:divBdr>
        </w:div>
      </w:divsChild>
    </w:div>
    <w:div w:id="290790113">
      <w:bodyDiv w:val="1"/>
      <w:marLeft w:val="0"/>
      <w:marRight w:val="0"/>
      <w:marTop w:val="0"/>
      <w:marBottom w:val="0"/>
      <w:divBdr>
        <w:top w:val="none" w:sz="0" w:space="0" w:color="auto"/>
        <w:left w:val="none" w:sz="0" w:space="0" w:color="auto"/>
        <w:bottom w:val="none" w:sz="0" w:space="0" w:color="auto"/>
        <w:right w:val="none" w:sz="0" w:space="0" w:color="auto"/>
      </w:divBdr>
      <w:divsChild>
        <w:div w:id="640690582">
          <w:marLeft w:val="0"/>
          <w:marRight w:val="0"/>
          <w:marTop w:val="0"/>
          <w:marBottom w:val="0"/>
          <w:divBdr>
            <w:top w:val="none" w:sz="0" w:space="0" w:color="auto"/>
            <w:left w:val="none" w:sz="0" w:space="0" w:color="auto"/>
            <w:bottom w:val="none" w:sz="0" w:space="0" w:color="auto"/>
            <w:right w:val="none" w:sz="0" w:space="0" w:color="auto"/>
          </w:divBdr>
        </w:div>
        <w:div w:id="1701584985">
          <w:marLeft w:val="0"/>
          <w:marRight w:val="0"/>
          <w:marTop w:val="0"/>
          <w:marBottom w:val="0"/>
          <w:divBdr>
            <w:top w:val="none" w:sz="0" w:space="0" w:color="auto"/>
            <w:left w:val="none" w:sz="0" w:space="0" w:color="auto"/>
            <w:bottom w:val="none" w:sz="0" w:space="0" w:color="auto"/>
            <w:right w:val="none" w:sz="0" w:space="0" w:color="auto"/>
          </w:divBdr>
        </w:div>
      </w:divsChild>
    </w:div>
    <w:div w:id="371539994">
      <w:bodyDiv w:val="1"/>
      <w:marLeft w:val="0"/>
      <w:marRight w:val="0"/>
      <w:marTop w:val="0"/>
      <w:marBottom w:val="0"/>
      <w:divBdr>
        <w:top w:val="none" w:sz="0" w:space="0" w:color="auto"/>
        <w:left w:val="none" w:sz="0" w:space="0" w:color="auto"/>
        <w:bottom w:val="none" w:sz="0" w:space="0" w:color="auto"/>
        <w:right w:val="none" w:sz="0" w:space="0" w:color="auto"/>
      </w:divBdr>
    </w:div>
    <w:div w:id="433669150">
      <w:bodyDiv w:val="1"/>
      <w:marLeft w:val="0"/>
      <w:marRight w:val="0"/>
      <w:marTop w:val="0"/>
      <w:marBottom w:val="0"/>
      <w:divBdr>
        <w:top w:val="none" w:sz="0" w:space="0" w:color="auto"/>
        <w:left w:val="none" w:sz="0" w:space="0" w:color="auto"/>
        <w:bottom w:val="none" w:sz="0" w:space="0" w:color="auto"/>
        <w:right w:val="none" w:sz="0" w:space="0" w:color="auto"/>
      </w:divBdr>
      <w:divsChild>
        <w:div w:id="740785568">
          <w:marLeft w:val="0"/>
          <w:marRight w:val="0"/>
          <w:marTop w:val="0"/>
          <w:marBottom w:val="0"/>
          <w:divBdr>
            <w:top w:val="none" w:sz="0" w:space="0" w:color="auto"/>
            <w:left w:val="none" w:sz="0" w:space="0" w:color="auto"/>
            <w:bottom w:val="none" w:sz="0" w:space="0" w:color="auto"/>
            <w:right w:val="none" w:sz="0" w:space="0" w:color="auto"/>
          </w:divBdr>
          <w:divsChild>
            <w:div w:id="581793504">
              <w:marLeft w:val="0"/>
              <w:marRight w:val="0"/>
              <w:marTop w:val="0"/>
              <w:marBottom w:val="0"/>
              <w:divBdr>
                <w:top w:val="none" w:sz="0" w:space="0" w:color="auto"/>
                <w:left w:val="none" w:sz="0" w:space="0" w:color="auto"/>
                <w:bottom w:val="none" w:sz="0" w:space="0" w:color="auto"/>
                <w:right w:val="none" w:sz="0" w:space="0" w:color="auto"/>
              </w:divBdr>
              <w:divsChild>
                <w:div w:id="167202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917630">
      <w:bodyDiv w:val="1"/>
      <w:marLeft w:val="0"/>
      <w:marRight w:val="0"/>
      <w:marTop w:val="0"/>
      <w:marBottom w:val="0"/>
      <w:divBdr>
        <w:top w:val="none" w:sz="0" w:space="0" w:color="auto"/>
        <w:left w:val="none" w:sz="0" w:space="0" w:color="auto"/>
        <w:bottom w:val="none" w:sz="0" w:space="0" w:color="auto"/>
        <w:right w:val="none" w:sz="0" w:space="0" w:color="auto"/>
      </w:divBdr>
    </w:div>
    <w:div w:id="440876223">
      <w:bodyDiv w:val="1"/>
      <w:marLeft w:val="0"/>
      <w:marRight w:val="0"/>
      <w:marTop w:val="0"/>
      <w:marBottom w:val="0"/>
      <w:divBdr>
        <w:top w:val="none" w:sz="0" w:space="0" w:color="auto"/>
        <w:left w:val="none" w:sz="0" w:space="0" w:color="auto"/>
        <w:bottom w:val="none" w:sz="0" w:space="0" w:color="auto"/>
        <w:right w:val="none" w:sz="0" w:space="0" w:color="auto"/>
      </w:divBdr>
      <w:divsChild>
        <w:div w:id="1842701625">
          <w:marLeft w:val="0"/>
          <w:marRight w:val="0"/>
          <w:marTop w:val="0"/>
          <w:marBottom w:val="0"/>
          <w:divBdr>
            <w:top w:val="none" w:sz="0" w:space="0" w:color="auto"/>
            <w:left w:val="none" w:sz="0" w:space="0" w:color="auto"/>
            <w:bottom w:val="none" w:sz="0" w:space="0" w:color="auto"/>
            <w:right w:val="none" w:sz="0" w:space="0" w:color="auto"/>
          </w:divBdr>
        </w:div>
      </w:divsChild>
    </w:div>
    <w:div w:id="458493386">
      <w:bodyDiv w:val="1"/>
      <w:marLeft w:val="0"/>
      <w:marRight w:val="0"/>
      <w:marTop w:val="0"/>
      <w:marBottom w:val="0"/>
      <w:divBdr>
        <w:top w:val="none" w:sz="0" w:space="0" w:color="auto"/>
        <w:left w:val="none" w:sz="0" w:space="0" w:color="auto"/>
        <w:bottom w:val="none" w:sz="0" w:space="0" w:color="auto"/>
        <w:right w:val="none" w:sz="0" w:space="0" w:color="auto"/>
      </w:divBdr>
      <w:divsChild>
        <w:div w:id="619145115">
          <w:marLeft w:val="0"/>
          <w:marRight w:val="0"/>
          <w:marTop w:val="0"/>
          <w:marBottom w:val="0"/>
          <w:divBdr>
            <w:top w:val="none" w:sz="0" w:space="0" w:color="auto"/>
            <w:left w:val="none" w:sz="0" w:space="0" w:color="auto"/>
            <w:bottom w:val="none" w:sz="0" w:space="0" w:color="auto"/>
            <w:right w:val="none" w:sz="0" w:space="0" w:color="auto"/>
          </w:divBdr>
        </w:div>
        <w:div w:id="1323850882">
          <w:marLeft w:val="0"/>
          <w:marRight w:val="0"/>
          <w:marTop w:val="0"/>
          <w:marBottom w:val="0"/>
          <w:divBdr>
            <w:top w:val="none" w:sz="0" w:space="0" w:color="auto"/>
            <w:left w:val="none" w:sz="0" w:space="0" w:color="auto"/>
            <w:bottom w:val="none" w:sz="0" w:space="0" w:color="auto"/>
            <w:right w:val="none" w:sz="0" w:space="0" w:color="auto"/>
          </w:divBdr>
        </w:div>
      </w:divsChild>
    </w:div>
    <w:div w:id="472915590">
      <w:bodyDiv w:val="1"/>
      <w:marLeft w:val="0"/>
      <w:marRight w:val="0"/>
      <w:marTop w:val="0"/>
      <w:marBottom w:val="0"/>
      <w:divBdr>
        <w:top w:val="none" w:sz="0" w:space="0" w:color="auto"/>
        <w:left w:val="none" w:sz="0" w:space="0" w:color="auto"/>
        <w:bottom w:val="none" w:sz="0" w:space="0" w:color="auto"/>
        <w:right w:val="none" w:sz="0" w:space="0" w:color="auto"/>
      </w:divBdr>
    </w:div>
    <w:div w:id="490561356">
      <w:bodyDiv w:val="1"/>
      <w:marLeft w:val="0"/>
      <w:marRight w:val="0"/>
      <w:marTop w:val="0"/>
      <w:marBottom w:val="0"/>
      <w:divBdr>
        <w:top w:val="none" w:sz="0" w:space="0" w:color="auto"/>
        <w:left w:val="none" w:sz="0" w:space="0" w:color="auto"/>
        <w:bottom w:val="none" w:sz="0" w:space="0" w:color="auto"/>
        <w:right w:val="none" w:sz="0" w:space="0" w:color="auto"/>
      </w:divBdr>
      <w:divsChild>
        <w:div w:id="1736928210">
          <w:marLeft w:val="0"/>
          <w:marRight w:val="0"/>
          <w:marTop w:val="0"/>
          <w:marBottom w:val="0"/>
          <w:divBdr>
            <w:top w:val="none" w:sz="0" w:space="0" w:color="auto"/>
            <w:left w:val="none" w:sz="0" w:space="0" w:color="auto"/>
            <w:bottom w:val="none" w:sz="0" w:space="0" w:color="auto"/>
            <w:right w:val="none" w:sz="0" w:space="0" w:color="auto"/>
          </w:divBdr>
        </w:div>
        <w:div w:id="1923491101">
          <w:marLeft w:val="0"/>
          <w:marRight w:val="0"/>
          <w:marTop w:val="0"/>
          <w:marBottom w:val="0"/>
          <w:divBdr>
            <w:top w:val="none" w:sz="0" w:space="0" w:color="auto"/>
            <w:left w:val="none" w:sz="0" w:space="0" w:color="auto"/>
            <w:bottom w:val="none" w:sz="0" w:space="0" w:color="auto"/>
            <w:right w:val="none" w:sz="0" w:space="0" w:color="auto"/>
          </w:divBdr>
        </w:div>
      </w:divsChild>
    </w:div>
    <w:div w:id="512888151">
      <w:bodyDiv w:val="1"/>
      <w:marLeft w:val="0"/>
      <w:marRight w:val="0"/>
      <w:marTop w:val="0"/>
      <w:marBottom w:val="0"/>
      <w:divBdr>
        <w:top w:val="none" w:sz="0" w:space="0" w:color="auto"/>
        <w:left w:val="none" w:sz="0" w:space="0" w:color="auto"/>
        <w:bottom w:val="none" w:sz="0" w:space="0" w:color="auto"/>
        <w:right w:val="none" w:sz="0" w:space="0" w:color="auto"/>
      </w:divBdr>
    </w:div>
    <w:div w:id="524756683">
      <w:bodyDiv w:val="1"/>
      <w:marLeft w:val="0"/>
      <w:marRight w:val="0"/>
      <w:marTop w:val="0"/>
      <w:marBottom w:val="0"/>
      <w:divBdr>
        <w:top w:val="none" w:sz="0" w:space="0" w:color="auto"/>
        <w:left w:val="none" w:sz="0" w:space="0" w:color="auto"/>
        <w:bottom w:val="none" w:sz="0" w:space="0" w:color="auto"/>
        <w:right w:val="none" w:sz="0" w:space="0" w:color="auto"/>
      </w:divBdr>
    </w:div>
    <w:div w:id="587273865">
      <w:bodyDiv w:val="1"/>
      <w:marLeft w:val="0"/>
      <w:marRight w:val="0"/>
      <w:marTop w:val="0"/>
      <w:marBottom w:val="0"/>
      <w:divBdr>
        <w:top w:val="none" w:sz="0" w:space="0" w:color="auto"/>
        <w:left w:val="none" w:sz="0" w:space="0" w:color="auto"/>
        <w:bottom w:val="none" w:sz="0" w:space="0" w:color="auto"/>
        <w:right w:val="none" w:sz="0" w:space="0" w:color="auto"/>
      </w:divBdr>
      <w:divsChild>
        <w:div w:id="2053730564">
          <w:marLeft w:val="0"/>
          <w:marRight w:val="0"/>
          <w:marTop w:val="0"/>
          <w:marBottom w:val="0"/>
          <w:divBdr>
            <w:top w:val="none" w:sz="0" w:space="0" w:color="auto"/>
            <w:left w:val="none" w:sz="0" w:space="0" w:color="auto"/>
            <w:bottom w:val="none" w:sz="0" w:space="0" w:color="auto"/>
            <w:right w:val="none" w:sz="0" w:space="0" w:color="auto"/>
          </w:divBdr>
        </w:div>
        <w:div w:id="1275206504">
          <w:marLeft w:val="0"/>
          <w:marRight w:val="0"/>
          <w:marTop w:val="0"/>
          <w:marBottom w:val="0"/>
          <w:divBdr>
            <w:top w:val="none" w:sz="0" w:space="0" w:color="auto"/>
            <w:left w:val="none" w:sz="0" w:space="0" w:color="auto"/>
            <w:bottom w:val="none" w:sz="0" w:space="0" w:color="auto"/>
            <w:right w:val="none" w:sz="0" w:space="0" w:color="auto"/>
          </w:divBdr>
        </w:div>
      </w:divsChild>
    </w:div>
    <w:div w:id="608970164">
      <w:bodyDiv w:val="1"/>
      <w:marLeft w:val="0"/>
      <w:marRight w:val="0"/>
      <w:marTop w:val="0"/>
      <w:marBottom w:val="0"/>
      <w:divBdr>
        <w:top w:val="none" w:sz="0" w:space="0" w:color="auto"/>
        <w:left w:val="none" w:sz="0" w:space="0" w:color="auto"/>
        <w:bottom w:val="none" w:sz="0" w:space="0" w:color="auto"/>
        <w:right w:val="none" w:sz="0" w:space="0" w:color="auto"/>
      </w:divBdr>
    </w:div>
    <w:div w:id="634529859">
      <w:bodyDiv w:val="1"/>
      <w:marLeft w:val="0"/>
      <w:marRight w:val="0"/>
      <w:marTop w:val="0"/>
      <w:marBottom w:val="0"/>
      <w:divBdr>
        <w:top w:val="none" w:sz="0" w:space="0" w:color="auto"/>
        <w:left w:val="none" w:sz="0" w:space="0" w:color="auto"/>
        <w:bottom w:val="none" w:sz="0" w:space="0" w:color="auto"/>
        <w:right w:val="none" w:sz="0" w:space="0" w:color="auto"/>
      </w:divBdr>
      <w:divsChild>
        <w:div w:id="146940133">
          <w:marLeft w:val="0"/>
          <w:marRight w:val="0"/>
          <w:marTop w:val="0"/>
          <w:marBottom w:val="0"/>
          <w:divBdr>
            <w:top w:val="none" w:sz="0" w:space="0" w:color="auto"/>
            <w:left w:val="none" w:sz="0" w:space="0" w:color="auto"/>
            <w:bottom w:val="none" w:sz="0" w:space="0" w:color="auto"/>
            <w:right w:val="none" w:sz="0" w:space="0" w:color="auto"/>
          </w:divBdr>
        </w:div>
        <w:div w:id="94715514">
          <w:marLeft w:val="0"/>
          <w:marRight w:val="0"/>
          <w:marTop w:val="0"/>
          <w:marBottom w:val="0"/>
          <w:divBdr>
            <w:top w:val="none" w:sz="0" w:space="0" w:color="auto"/>
            <w:left w:val="none" w:sz="0" w:space="0" w:color="auto"/>
            <w:bottom w:val="none" w:sz="0" w:space="0" w:color="auto"/>
            <w:right w:val="none" w:sz="0" w:space="0" w:color="auto"/>
          </w:divBdr>
        </w:div>
        <w:div w:id="1907648363">
          <w:marLeft w:val="0"/>
          <w:marRight w:val="0"/>
          <w:marTop w:val="0"/>
          <w:marBottom w:val="0"/>
          <w:divBdr>
            <w:top w:val="none" w:sz="0" w:space="0" w:color="auto"/>
            <w:left w:val="none" w:sz="0" w:space="0" w:color="auto"/>
            <w:bottom w:val="none" w:sz="0" w:space="0" w:color="auto"/>
            <w:right w:val="none" w:sz="0" w:space="0" w:color="auto"/>
          </w:divBdr>
        </w:div>
        <w:div w:id="357510755">
          <w:marLeft w:val="0"/>
          <w:marRight w:val="0"/>
          <w:marTop w:val="0"/>
          <w:marBottom w:val="0"/>
          <w:divBdr>
            <w:top w:val="none" w:sz="0" w:space="0" w:color="auto"/>
            <w:left w:val="none" w:sz="0" w:space="0" w:color="auto"/>
            <w:bottom w:val="none" w:sz="0" w:space="0" w:color="auto"/>
            <w:right w:val="none" w:sz="0" w:space="0" w:color="auto"/>
          </w:divBdr>
        </w:div>
        <w:div w:id="247277246">
          <w:marLeft w:val="0"/>
          <w:marRight w:val="0"/>
          <w:marTop w:val="0"/>
          <w:marBottom w:val="0"/>
          <w:divBdr>
            <w:top w:val="none" w:sz="0" w:space="0" w:color="auto"/>
            <w:left w:val="none" w:sz="0" w:space="0" w:color="auto"/>
            <w:bottom w:val="none" w:sz="0" w:space="0" w:color="auto"/>
            <w:right w:val="none" w:sz="0" w:space="0" w:color="auto"/>
          </w:divBdr>
        </w:div>
        <w:div w:id="1547334301">
          <w:marLeft w:val="0"/>
          <w:marRight w:val="0"/>
          <w:marTop w:val="0"/>
          <w:marBottom w:val="0"/>
          <w:divBdr>
            <w:top w:val="none" w:sz="0" w:space="0" w:color="auto"/>
            <w:left w:val="none" w:sz="0" w:space="0" w:color="auto"/>
            <w:bottom w:val="none" w:sz="0" w:space="0" w:color="auto"/>
            <w:right w:val="none" w:sz="0" w:space="0" w:color="auto"/>
          </w:divBdr>
        </w:div>
        <w:div w:id="393361525">
          <w:marLeft w:val="0"/>
          <w:marRight w:val="0"/>
          <w:marTop w:val="0"/>
          <w:marBottom w:val="0"/>
          <w:divBdr>
            <w:top w:val="none" w:sz="0" w:space="0" w:color="auto"/>
            <w:left w:val="none" w:sz="0" w:space="0" w:color="auto"/>
            <w:bottom w:val="none" w:sz="0" w:space="0" w:color="auto"/>
            <w:right w:val="none" w:sz="0" w:space="0" w:color="auto"/>
          </w:divBdr>
        </w:div>
        <w:div w:id="1844121686">
          <w:marLeft w:val="0"/>
          <w:marRight w:val="0"/>
          <w:marTop w:val="0"/>
          <w:marBottom w:val="0"/>
          <w:divBdr>
            <w:top w:val="none" w:sz="0" w:space="0" w:color="auto"/>
            <w:left w:val="none" w:sz="0" w:space="0" w:color="auto"/>
            <w:bottom w:val="none" w:sz="0" w:space="0" w:color="auto"/>
            <w:right w:val="none" w:sz="0" w:space="0" w:color="auto"/>
          </w:divBdr>
        </w:div>
        <w:div w:id="1169828851">
          <w:marLeft w:val="0"/>
          <w:marRight w:val="0"/>
          <w:marTop w:val="0"/>
          <w:marBottom w:val="0"/>
          <w:divBdr>
            <w:top w:val="none" w:sz="0" w:space="0" w:color="auto"/>
            <w:left w:val="none" w:sz="0" w:space="0" w:color="auto"/>
            <w:bottom w:val="none" w:sz="0" w:space="0" w:color="auto"/>
            <w:right w:val="none" w:sz="0" w:space="0" w:color="auto"/>
          </w:divBdr>
        </w:div>
        <w:div w:id="780757440">
          <w:marLeft w:val="0"/>
          <w:marRight w:val="0"/>
          <w:marTop w:val="0"/>
          <w:marBottom w:val="0"/>
          <w:divBdr>
            <w:top w:val="none" w:sz="0" w:space="0" w:color="auto"/>
            <w:left w:val="none" w:sz="0" w:space="0" w:color="auto"/>
            <w:bottom w:val="none" w:sz="0" w:space="0" w:color="auto"/>
            <w:right w:val="none" w:sz="0" w:space="0" w:color="auto"/>
          </w:divBdr>
        </w:div>
        <w:div w:id="467626352">
          <w:marLeft w:val="0"/>
          <w:marRight w:val="0"/>
          <w:marTop w:val="0"/>
          <w:marBottom w:val="0"/>
          <w:divBdr>
            <w:top w:val="none" w:sz="0" w:space="0" w:color="auto"/>
            <w:left w:val="none" w:sz="0" w:space="0" w:color="auto"/>
            <w:bottom w:val="none" w:sz="0" w:space="0" w:color="auto"/>
            <w:right w:val="none" w:sz="0" w:space="0" w:color="auto"/>
          </w:divBdr>
        </w:div>
        <w:div w:id="354231175">
          <w:marLeft w:val="0"/>
          <w:marRight w:val="0"/>
          <w:marTop w:val="0"/>
          <w:marBottom w:val="0"/>
          <w:divBdr>
            <w:top w:val="none" w:sz="0" w:space="0" w:color="auto"/>
            <w:left w:val="none" w:sz="0" w:space="0" w:color="auto"/>
            <w:bottom w:val="none" w:sz="0" w:space="0" w:color="auto"/>
            <w:right w:val="none" w:sz="0" w:space="0" w:color="auto"/>
          </w:divBdr>
        </w:div>
        <w:div w:id="372468106">
          <w:marLeft w:val="0"/>
          <w:marRight w:val="0"/>
          <w:marTop w:val="0"/>
          <w:marBottom w:val="0"/>
          <w:divBdr>
            <w:top w:val="none" w:sz="0" w:space="0" w:color="auto"/>
            <w:left w:val="none" w:sz="0" w:space="0" w:color="auto"/>
            <w:bottom w:val="none" w:sz="0" w:space="0" w:color="auto"/>
            <w:right w:val="none" w:sz="0" w:space="0" w:color="auto"/>
          </w:divBdr>
        </w:div>
        <w:div w:id="2067292227">
          <w:marLeft w:val="0"/>
          <w:marRight w:val="0"/>
          <w:marTop w:val="0"/>
          <w:marBottom w:val="0"/>
          <w:divBdr>
            <w:top w:val="none" w:sz="0" w:space="0" w:color="auto"/>
            <w:left w:val="none" w:sz="0" w:space="0" w:color="auto"/>
            <w:bottom w:val="none" w:sz="0" w:space="0" w:color="auto"/>
            <w:right w:val="none" w:sz="0" w:space="0" w:color="auto"/>
          </w:divBdr>
        </w:div>
      </w:divsChild>
    </w:div>
    <w:div w:id="649555479">
      <w:bodyDiv w:val="1"/>
      <w:marLeft w:val="0"/>
      <w:marRight w:val="0"/>
      <w:marTop w:val="0"/>
      <w:marBottom w:val="0"/>
      <w:divBdr>
        <w:top w:val="none" w:sz="0" w:space="0" w:color="auto"/>
        <w:left w:val="none" w:sz="0" w:space="0" w:color="auto"/>
        <w:bottom w:val="none" w:sz="0" w:space="0" w:color="auto"/>
        <w:right w:val="none" w:sz="0" w:space="0" w:color="auto"/>
      </w:divBdr>
      <w:divsChild>
        <w:div w:id="840894028">
          <w:marLeft w:val="0"/>
          <w:marRight w:val="0"/>
          <w:marTop w:val="0"/>
          <w:marBottom w:val="0"/>
          <w:divBdr>
            <w:top w:val="none" w:sz="0" w:space="0" w:color="auto"/>
            <w:left w:val="none" w:sz="0" w:space="0" w:color="auto"/>
            <w:bottom w:val="none" w:sz="0" w:space="0" w:color="auto"/>
            <w:right w:val="none" w:sz="0" w:space="0" w:color="auto"/>
          </w:divBdr>
        </w:div>
        <w:div w:id="199322613">
          <w:marLeft w:val="0"/>
          <w:marRight w:val="0"/>
          <w:marTop w:val="0"/>
          <w:marBottom w:val="0"/>
          <w:divBdr>
            <w:top w:val="none" w:sz="0" w:space="0" w:color="auto"/>
            <w:left w:val="none" w:sz="0" w:space="0" w:color="auto"/>
            <w:bottom w:val="none" w:sz="0" w:space="0" w:color="auto"/>
            <w:right w:val="none" w:sz="0" w:space="0" w:color="auto"/>
          </w:divBdr>
        </w:div>
        <w:div w:id="1298029304">
          <w:marLeft w:val="0"/>
          <w:marRight w:val="0"/>
          <w:marTop w:val="0"/>
          <w:marBottom w:val="0"/>
          <w:divBdr>
            <w:top w:val="none" w:sz="0" w:space="0" w:color="auto"/>
            <w:left w:val="none" w:sz="0" w:space="0" w:color="auto"/>
            <w:bottom w:val="none" w:sz="0" w:space="0" w:color="auto"/>
            <w:right w:val="none" w:sz="0" w:space="0" w:color="auto"/>
          </w:divBdr>
        </w:div>
        <w:div w:id="1937638917">
          <w:marLeft w:val="0"/>
          <w:marRight w:val="0"/>
          <w:marTop w:val="0"/>
          <w:marBottom w:val="0"/>
          <w:divBdr>
            <w:top w:val="none" w:sz="0" w:space="0" w:color="auto"/>
            <w:left w:val="none" w:sz="0" w:space="0" w:color="auto"/>
            <w:bottom w:val="none" w:sz="0" w:space="0" w:color="auto"/>
            <w:right w:val="none" w:sz="0" w:space="0" w:color="auto"/>
          </w:divBdr>
        </w:div>
        <w:div w:id="1694723957">
          <w:marLeft w:val="0"/>
          <w:marRight w:val="0"/>
          <w:marTop w:val="0"/>
          <w:marBottom w:val="0"/>
          <w:divBdr>
            <w:top w:val="none" w:sz="0" w:space="0" w:color="auto"/>
            <w:left w:val="none" w:sz="0" w:space="0" w:color="auto"/>
            <w:bottom w:val="none" w:sz="0" w:space="0" w:color="auto"/>
            <w:right w:val="none" w:sz="0" w:space="0" w:color="auto"/>
          </w:divBdr>
        </w:div>
      </w:divsChild>
    </w:div>
    <w:div w:id="677926574">
      <w:bodyDiv w:val="1"/>
      <w:marLeft w:val="0"/>
      <w:marRight w:val="0"/>
      <w:marTop w:val="0"/>
      <w:marBottom w:val="0"/>
      <w:divBdr>
        <w:top w:val="none" w:sz="0" w:space="0" w:color="auto"/>
        <w:left w:val="none" w:sz="0" w:space="0" w:color="auto"/>
        <w:bottom w:val="none" w:sz="0" w:space="0" w:color="auto"/>
        <w:right w:val="none" w:sz="0" w:space="0" w:color="auto"/>
      </w:divBdr>
      <w:divsChild>
        <w:div w:id="1924491599">
          <w:marLeft w:val="0"/>
          <w:marRight w:val="0"/>
          <w:marTop w:val="0"/>
          <w:marBottom w:val="0"/>
          <w:divBdr>
            <w:top w:val="none" w:sz="0" w:space="0" w:color="auto"/>
            <w:left w:val="none" w:sz="0" w:space="0" w:color="auto"/>
            <w:bottom w:val="none" w:sz="0" w:space="0" w:color="auto"/>
            <w:right w:val="none" w:sz="0" w:space="0" w:color="auto"/>
          </w:divBdr>
        </w:div>
        <w:div w:id="391540392">
          <w:marLeft w:val="0"/>
          <w:marRight w:val="0"/>
          <w:marTop w:val="0"/>
          <w:marBottom w:val="0"/>
          <w:divBdr>
            <w:top w:val="none" w:sz="0" w:space="0" w:color="auto"/>
            <w:left w:val="none" w:sz="0" w:space="0" w:color="auto"/>
            <w:bottom w:val="none" w:sz="0" w:space="0" w:color="auto"/>
            <w:right w:val="none" w:sz="0" w:space="0" w:color="auto"/>
          </w:divBdr>
        </w:div>
        <w:div w:id="1043095548">
          <w:marLeft w:val="0"/>
          <w:marRight w:val="0"/>
          <w:marTop w:val="0"/>
          <w:marBottom w:val="0"/>
          <w:divBdr>
            <w:top w:val="none" w:sz="0" w:space="0" w:color="auto"/>
            <w:left w:val="none" w:sz="0" w:space="0" w:color="auto"/>
            <w:bottom w:val="none" w:sz="0" w:space="0" w:color="auto"/>
            <w:right w:val="none" w:sz="0" w:space="0" w:color="auto"/>
          </w:divBdr>
        </w:div>
        <w:div w:id="1742211147">
          <w:marLeft w:val="0"/>
          <w:marRight w:val="0"/>
          <w:marTop w:val="0"/>
          <w:marBottom w:val="0"/>
          <w:divBdr>
            <w:top w:val="none" w:sz="0" w:space="0" w:color="auto"/>
            <w:left w:val="none" w:sz="0" w:space="0" w:color="auto"/>
            <w:bottom w:val="none" w:sz="0" w:space="0" w:color="auto"/>
            <w:right w:val="none" w:sz="0" w:space="0" w:color="auto"/>
          </w:divBdr>
        </w:div>
        <w:div w:id="603727792">
          <w:marLeft w:val="0"/>
          <w:marRight w:val="0"/>
          <w:marTop w:val="0"/>
          <w:marBottom w:val="0"/>
          <w:divBdr>
            <w:top w:val="none" w:sz="0" w:space="0" w:color="auto"/>
            <w:left w:val="none" w:sz="0" w:space="0" w:color="auto"/>
            <w:bottom w:val="none" w:sz="0" w:space="0" w:color="auto"/>
            <w:right w:val="none" w:sz="0" w:space="0" w:color="auto"/>
          </w:divBdr>
        </w:div>
        <w:div w:id="436565451">
          <w:marLeft w:val="0"/>
          <w:marRight w:val="0"/>
          <w:marTop w:val="0"/>
          <w:marBottom w:val="0"/>
          <w:divBdr>
            <w:top w:val="none" w:sz="0" w:space="0" w:color="auto"/>
            <w:left w:val="none" w:sz="0" w:space="0" w:color="auto"/>
            <w:bottom w:val="none" w:sz="0" w:space="0" w:color="auto"/>
            <w:right w:val="none" w:sz="0" w:space="0" w:color="auto"/>
          </w:divBdr>
        </w:div>
        <w:div w:id="675379605">
          <w:marLeft w:val="0"/>
          <w:marRight w:val="0"/>
          <w:marTop w:val="0"/>
          <w:marBottom w:val="0"/>
          <w:divBdr>
            <w:top w:val="none" w:sz="0" w:space="0" w:color="auto"/>
            <w:left w:val="none" w:sz="0" w:space="0" w:color="auto"/>
            <w:bottom w:val="none" w:sz="0" w:space="0" w:color="auto"/>
            <w:right w:val="none" w:sz="0" w:space="0" w:color="auto"/>
          </w:divBdr>
        </w:div>
        <w:div w:id="2048597838">
          <w:marLeft w:val="0"/>
          <w:marRight w:val="0"/>
          <w:marTop w:val="0"/>
          <w:marBottom w:val="0"/>
          <w:divBdr>
            <w:top w:val="none" w:sz="0" w:space="0" w:color="auto"/>
            <w:left w:val="none" w:sz="0" w:space="0" w:color="auto"/>
            <w:bottom w:val="none" w:sz="0" w:space="0" w:color="auto"/>
            <w:right w:val="none" w:sz="0" w:space="0" w:color="auto"/>
          </w:divBdr>
        </w:div>
        <w:div w:id="239484100">
          <w:marLeft w:val="0"/>
          <w:marRight w:val="0"/>
          <w:marTop w:val="0"/>
          <w:marBottom w:val="0"/>
          <w:divBdr>
            <w:top w:val="none" w:sz="0" w:space="0" w:color="auto"/>
            <w:left w:val="none" w:sz="0" w:space="0" w:color="auto"/>
            <w:bottom w:val="none" w:sz="0" w:space="0" w:color="auto"/>
            <w:right w:val="none" w:sz="0" w:space="0" w:color="auto"/>
          </w:divBdr>
        </w:div>
        <w:div w:id="872378237">
          <w:marLeft w:val="0"/>
          <w:marRight w:val="0"/>
          <w:marTop w:val="0"/>
          <w:marBottom w:val="0"/>
          <w:divBdr>
            <w:top w:val="none" w:sz="0" w:space="0" w:color="auto"/>
            <w:left w:val="none" w:sz="0" w:space="0" w:color="auto"/>
            <w:bottom w:val="none" w:sz="0" w:space="0" w:color="auto"/>
            <w:right w:val="none" w:sz="0" w:space="0" w:color="auto"/>
          </w:divBdr>
        </w:div>
        <w:div w:id="785152685">
          <w:marLeft w:val="0"/>
          <w:marRight w:val="0"/>
          <w:marTop w:val="0"/>
          <w:marBottom w:val="0"/>
          <w:divBdr>
            <w:top w:val="none" w:sz="0" w:space="0" w:color="auto"/>
            <w:left w:val="none" w:sz="0" w:space="0" w:color="auto"/>
            <w:bottom w:val="none" w:sz="0" w:space="0" w:color="auto"/>
            <w:right w:val="none" w:sz="0" w:space="0" w:color="auto"/>
          </w:divBdr>
        </w:div>
        <w:div w:id="2052337700">
          <w:marLeft w:val="0"/>
          <w:marRight w:val="0"/>
          <w:marTop w:val="0"/>
          <w:marBottom w:val="0"/>
          <w:divBdr>
            <w:top w:val="none" w:sz="0" w:space="0" w:color="auto"/>
            <w:left w:val="none" w:sz="0" w:space="0" w:color="auto"/>
            <w:bottom w:val="none" w:sz="0" w:space="0" w:color="auto"/>
            <w:right w:val="none" w:sz="0" w:space="0" w:color="auto"/>
          </w:divBdr>
        </w:div>
        <w:div w:id="1572230327">
          <w:marLeft w:val="0"/>
          <w:marRight w:val="0"/>
          <w:marTop w:val="0"/>
          <w:marBottom w:val="0"/>
          <w:divBdr>
            <w:top w:val="none" w:sz="0" w:space="0" w:color="auto"/>
            <w:left w:val="none" w:sz="0" w:space="0" w:color="auto"/>
            <w:bottom w:val="none" w:sz="0" w:space="0" w:color="auto"/>
            <w:right w:val="none" w:sz="0" w:space="0" w:color="auto"/>
          </w:divBdr>
        </w:div>
        <w:div w:id="364987503">
          <w:marLeft w:val="0"/>
          <w:marRight w:val="0"/>
          <w:marTop w:val="0"/>
          <w:marBottom w:val="0"/>
          <w:divBdr>
            <w:top w:val="none" w:sz="0" w:space="0" w:color="auto"/>
            <w:left w:val="none" w:sz="0" w:space="0" w:color="auto"/>
            <w:bottom w:val="none" w:sz="0" w:space="0" w:color="auto"/>
            <w:right w:val="none" w:sz="0" w:space="0" w:color="auto"/>
          </w:divBdr>
        </w:div>
        <w:div w:id="1684086874">
          <w:marLeft w:val="0"/>
          <w:marRight w:val="0"/>
          <w:marTop w:val="0"/>
          <w:marBottom w:val="0"/>
          <w:divBdr>
            <w:top w:val="none" w:sz="0" w:space="0" w:color="auto"/>
            <w:left w:val="none" w:sz="0" w:space="0" w:color="auto"/>
            <w:bottom w:val="none" w:sz="0" w:space="0" w:color="auto"/>
            <w:right w:val="none" w:sz="0" w:space="0" w:color="auto"/>
          </w:divBdr>
        </w:div>
        <w:div w:id="1061905695">
          <w:marLeft w:val="0"/>
          <w:marRight w:val="0"/>
          <w:marTop w:val="0"/>
          <w:marBottom w:val="0"/>
          <w:divBdr>
            <w:top w:val="none" w:sz="0" w:space="0" w:color="auto"/>
            <w:left w:val="none" w:sz="0" w:space="0" w:color="auto"/>
            <w:bottom w:val="none" w:sz="0" w:space="0" w:color="auto"/>
            <w:right w:val="none" w:sz="0" w:space="0" w:color="auto"/>
          </w:divBdr>
        </w:div>
        <w:div w:id="1809779572">
          <w:marLeft w:val="0"/>
          <w:marRight w:val="0"/>
          <w:marTop w:val="0"/>
          <w:marBottom w:val="0"/>
          <w:divBdr>
            <w:top w:val="none" w:sz="0" w:space="0" w:color="auto"/>
            <w:left w:val="none" w:sz="0" w:space="0" w:color="auto"/>
            <w:bottom w:val="none" w:sz="0" w:space="0" w:color="auto"/>
            <w:right w:val="none" w:sz="0" w:space="0" w:color="auto"/>
          </w:divBdr>
        </w:div>
        <w:div w:id="1888639315">
          <w:marLeft w:val="0"/>
          <w:marRight w:val="0"/>
          <w:marTop w:val="0"/>
          <w:marBottom w:val="0"/>
          <w:divBdr>
            <w:top w:val="none" w:sz="0" w:space="0" w:color="auto"/>
            <w:left w:val="none" w:sz="0" w:space="0" w:color="auto"/>
            <w:bottom w:val="none" w:sz="0" w:space="0" w:color="auto"/>
            <w:right w:val="none" w:sz="0" w:space="0" w:color="auto"/>
          </w:divBdr>
        </w:div>
      </w:divsChild>
    </w:div>
    <w:div w:id="687608204">
      <w:bodyDiv w:val="1"/>
      <w:marLeft w:val="0"/>
      <w:marRight w:val="0"/>
      <w:marTop w:val="0"/>
      <w:marBottom w:val="0"/>
      <w:divBdr>
        <w:top w:val="none" w:sz="0" w:space="0" w:color="auto"/>
        <w:left w:val="none" w:sz="0" w:space="0" w:color="auto"/>
        <w:bottom w:val="none" w:sz="0" w:space="0" w:color="auto"/>
        <w:right w:val="none" w:sz="0" w:space="0" w:color="auto"/>
      </w:divBdr>
    </w:div>
    <w:div w:id="692270075">
      <w:bodyDiv w:val="1"/>
      <w:marLeft w:val="0"/>
      <w:marRight w:val="0"/>
      <w:marTop w:val="0"/>
      <w:marBottom w:val="0"/>
      <w:divBdr>
        <w:top w:val="none" w:sz="0" w:space="0" w:color="auto"/>
        <w:left w:val="none" w:sz="0" w:space="0" w:color="auto"/>
        <w:bottom w:val="none" w:sz="0" w:space="0" w:color="auto"/>
        <w:right w:val="none" w:sz="0" w:space="0" w:color="auto"/>
      </w:divBdr>
    </w:div>
    <w:div w:id="697120775">
      <w:bodyDiv w:val="1"/>
      <w:marLeft w:val="0"/>
      <w:marRight w:val="0"/>
      <w:marTop w:val="0"/>
      <w:marBottom w:val="0"/>
      <w:divBdr>
        <w:top w:val="none" w:sz="0" w:space="0" w:color="auto"/>
        <w:left w:val="none" w:sz="0" w:space="0" w:color="auto"/>
        <w:bottom w:val="none" w:sz="0" w:space="0" w:color="auto"/>
        <w:right w:val="none" w:sz="0" w:space="0" w:color="auto"/>
      </w:divBdr>
    </w:div>
    <w:div w:id="709955228">
      <w:bodyDiv w:val="1"/>
      <w:marLeft w:val="0"/>
      <w:marRight w:val="0"/>
      <w:marTop w:val="0"/>
      <w:marBottom w:val="0"/>
      <w:divBdr>
        <w:top w:val="none" w:sz="0" w:space="0" w:color="auto"/>
        <w:left w:val="none" w:sz="0" w:space="0" w:color="auto"/>
        <w:bottom w:val="none" w:sz="0" w:space="0" w:color="auto"/>
        <w:right w:val="none" w:sz="0" w:space="0" w:color="auto"/>
      </w:divBdr>
    </w:div>
    <w:div w:id="728069558">
      <w:bodyDiv w:val="1"/>
      <w:marLeft w:val="0"/>
      <w:marRight w:val="0"/>
      <w:marTop w:val="0"/>
      <w:marBottom w:val="0"/>
      <w:divBdr>
        <w:top w:val="none" w:sz="0" w:space="0" w:color="auto"/>
        <w:left w:val="none" w:sz="0" w:space="0" w:color="auto"/>
        <w:bottom w:val="none" w:sz="0" w:space="0" w:color="auto"/>
        <w:right w:val="none" w:sz="0" w:space="0" w:color="auto"/>
      </w:divBdr>
      <w:divsChild>
        <w:div w:id="413404988">
          <w:marLeft w:val="0"/>
          <w:marRight w:val="0"/>
          <w:marTop w:val="0"/>
          <w:marBottom w:val="0"/>
          <w:divBdr>
            <w:top w:val="none" w:sz="0" w:space="0" w:color="auto"/>
            <w:left w:val="none" w:sz="0" w:space="0" w:color="auto"/>
            <w:bottom w:val="none" w:sz="0" w:space="0" w:color="auto"/>
            <w:right w:val="none" w:sz="0" w:space="0" w:color="auto"/>
          </w:divBdr>
        </w:div>
        <w:div w:id="2099402750">
          <w:marLeft w:val="0"/>
          <w:marRight w:val="0"/>
          <w:marTop w:val="0"/>
          <w:marBottom w:val="0"/>
          <w:divBdr>
            <w:top w:val="none" w:sz="0" w:space="0" w:color="auto"/>
            <w:left w:val="none" w:sz="0" w:space="0" w:color="auto"/>
            <w:bottom w:val="none" w:sz="0" w:space="0" w:color="auto"/>
            <w:right w:val="none" w:sz="0" w:space="0" w:color="auto"/>
          </w:divBdr>
        </w:div>
      </w:divsChild>
    </w:div>
    <w:div w:id="775565340">
      <w:bodyDiv w:val="1"/>
      <w:marLeft w:val="0"/>
      <w:marRight w:val="0"/>
      <w:marTop w:val="0"/>
      <w:marBottom w:val="0"/>
      <w:divBdr>
        <w:top w:val="none" w:sz="0" w:space="0" w:color="auto"/>
        <w:left w:val="none" w:sz="0" w:space="0" w:color="auto"/>
        <w:bottom w:val="none" w:sz="0" w:space="0" w:color="auto"/>
        <w:right w:val="none" w:sz="0" w:space="0" w:color="auto"/>
      </w:divBdr>
    </w:div>
    <w:div w:id="779110957">
      <w:bodyDiv w:val="1"/>
      <w:marLeft w:val="0"/>
      <w:marRight w:val="0"/>
      <w:marTop w:val="0"/>
      <w:marBottom w:val="0"/>
      <w:divBdr>
        <w:top w:val="none" w:sz="0" w:space="0" w:color="auto"/>
        <w:left w:val="none" w:sz="0" w:space="0" w:color="auto"/>
        <w:bottom w:val="none" w:sz="0" w:space="0" w:color="auto"/>
        <w:right w:val="none" w:sz="0" w:space="0" w:color="auto"/>
      </w:divBdr>
    </w:div>
    <w:div w:id="811602647">
      <w:bodyDiv w:val="1"/>
      <w:marLeft w:val="0"/>
      <w:marRight w:val="0"/>
      <w:marTop w:val="0"/>
      <w:marBottom w:val="0"/>
      <w:divBdr>
        <w:top w:val="none" w:sz="0" w:space="0" w:color="auto"/>
        <w:left w:val="none" w:sz="0" w:space="0" w:color="auto"/>
        <w:bottom w:val="none" w:sz="0" w:space="0" w:color="auto"/>
        <w:right w:val="none" w:sz="0" w:space="0" w:color="auto"/>
      </w:divBdr>
      <w:divsChild>
        <w:div w:id="297958720">
          <w:marLeft w:val="0"/>
          <w:marRight w:val="0"/>
          <w:marTop w:val="0"/>
          <w:marBottom w:val="0"/>
          <w:divBdr>
            <w:top w:val="none" w:sz="0" w:space="0" w:color="auto"/>
            <w:left w:val="none" w:sz="0" w:space="0" w:color="auto"/>
            <w:bottom w:val="none" w:sz="0" w:space="0" w:color="auto"/>
            <w:right w:val="none" w:sz="0" w:space="0" w:color="auto"/>
          </w:divBdr>
          <w:divsChild>
            <w:div w:id="1351418280">
              <w:marLeft w:val="0"/>
              <w:marRight w:val="0"/>
              <w:marTop w:val="0"/>
              <w:marBottom w:val="0"/>
              <w:divBdr>
                <w:top w:val="none" w:sz="0" w:space="0" w:color="auto"/>
                <w:left w:val="none" w:sz="0" w:space="0" w:color="auto"/>
                <w:bottom w:val="none" w:sz="0" w:space="0" w:color="auto"/>
                <w:right w:val="none" w:sz="0" w:space="0" w:color="auto"/>
              </w:divBdr>
              <w:divsChild>
                <w:div w:id="342363589">
                  <w:marLeft w:val="0"/>
                  <w:marRight w:val="0"/>
                  <w:marTop w:val="0"/>
                  <w:marBottom w:val="0"/>
                  <w:divBdr>
                    <w:top w:val="none" w:sz="0" w:space="0" w:color="auto"/>
                    <w:left w:val="none" w:sz="0" w:space="0" w:color="auto"/>
                    <w:bottom w:val="none" w:sz="0" w:space="0" w:color="auto"/>
                    <w:right w:val="none" w:sz="0" w:space="0" w:color="auto"/>
                  </w:divBdr>
                  <w:divsChild>
                    <w:div w:id="91173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645174">
      <w:bodyDiv w:val="1"/>
      <w:marLeft w:val="0"/>
      <w:marRight w:val="0"/>
      <w:marTop w:val="0"/>
      <w:marBottom w:val="0"/>
      <w:divBdr>
        <w:top w:val="none" w:sz="0" w:space="0" w:color="auto"/>
        <w:left w:val="none" w:sz="0" w:space="0" w:color="auto"/>
        <w:bottom w:val="none" w:sz="0" w:space="0" w:color="auto"/>
        <w:right w:val="none" w:sz="0" w:space="0" w:color="auto"/>
      </w:divBdr>
    </w:div>
    <w:div w:id="834416353">
      <w:bodyDiv w:val="1"/>
      <w:marLeft w:val="0"/>
      <w:marRight w:val="0"/>
      <w:marTop w:val="0"/>
      <w:marBottom w:val="0"/>
      <w:divBdr>
        <w:top w:val="none" w:sz="0" w:space="0" w:color="auto"/>
        <w:left w:val="none" w:sz="0" w:space="0" w:color="auto"/>
        <w:bottom w:val="none" w:sz="0" w:space="0" w:color="auto"/>
        <w:right w:val="none" w:sz="0" w:space="0" w:color="auto"/>
      </w:divBdr>
    </w:div>
    <w:div w:id="917712949">
      <w:bodyDiv w:val="1"/>
      <w:marLeft w:val="0"/>
      <w:marRight w:val="0"/>
      <w:marTop w:val="0"/>
      <w:marBottom w:val="0"/>
      <w:divBdr>
        <w:top w:val="none" w:sz="0" w:space="0" w:color="auto"/>
        <w:left w:val="none" w:sz="0" w:space="0" w:color="auto"/>
        <w:bottom w:val="none" w:sz="0" w:space="0" w:color="auto"/>
        <w:right w:val="none" w:sz="0" w:space="0" w:color="auto"/>
      </w:divBdr>
      <w:divsChild>
        <w:div w:id="925917424">
          <w:marLeft w:val="0"/>
          <w:marRight w:val="0"/>
          <w:marTop w:val="0"/>
          <w:marBottom w:val="0"/>
          <w:divBdr>
            <w:top w:val="none" w:sz="0" w:space="0" w:color="auto"/>
            <w:left w:val="none" w:sz="0" w:space="0" w:color="auto"/>
            <w:bottom w:val="none" w:sz="0" w:space="0" w:color="auto"/>
            <w:right w:val="none" w:sz="0" w:space="0" w:color="auto"/>
          </w:divBdr>
        </w:div>
        <w:div w:id="1957833403">
          <w:marLeft w:val="0"/>
          <w:marRight w:val="0"/>
          <w:marTop w:val="0"/>
          <w:marBottom w:val="0"/>
          <w:divBdr>
            <w:top w:val="none" w:sz="0" w:space="0" w:color="auto"/>
            <w:left w:val="none" w:sz="0" w:space="0" w:color="auto"/>
            <w:bottom w:val="none" w:sz="0" w:space="0" w:color="auto"/>
            <w:right w:val="none" w:sz="0" w:space="0" w:color="auto"/>
          </w:divBdr>
        </w:div>
        <w:div w:id="1500848197">
          <w:marLeft w:val="0"/>
          <w:marRight w:val="0"/>
          <w:marTop w:val="0"/>
          <w:marBottom w:val="0"/>
          <w:divBdr>
            <w:top w:val="none" w:sz="0" w:space="0" w:color="auto"/>
            <w:left w:val="none" w:sz="0" w:space="0" w:color="auto"/>
            <w:bottom w:val="none" w:sz="0" w:space="0" w:color="auto"/>
            <w:right w:val="none" w:sz="0" w:space="0" w:color="auto"/>
          </w:divBdr>
        </w:div>
        <w:div w:id="161510422">
          <w:marLeft w:val="0"/>
          <w:marRight w:val="0"/>
          <w:marTop w:val="0"/>
          <w:marBottom w:val="0"/>
          <w:divBdr>
            <w:top w:val="none" w:sz="0" w:space="0" w:color="auto"/>
            <w:left w:val="none" w:sz="0" w:space="0" w:color="auto"/>
            <w:bottom w:val="none" w:sz="0" w:space="0" w:color="auto"/>
            <w:right w:val="none" w:sz="0" w:space="0" w:color="auto"/>
          </w:divBdr>
        </w:div>
        <w:div w:id="674957758">
          <w:marLeft w:val="0"/>
          <w:marRight w:val="0"/>
          <w:marTop w:val="0"/>
          <w:marBottom w:val="0"/>
          <w:divBdr>
            <w:top w:val="none" w:sz="0" w:space="0" w:color="auto"/>
            <w:left w:val="none" w:sz="0" w:space="0" w:color="auto"/>
            <w:bottom w:val="none" w:sz="0" w:space="0" w:color="auto"/>
            <w:right w:val="none" w:sz="0" w:space="0" w:color="auto"/>
          </w:divBdr>
        </w:div>
        <w:div w:id="1519926478">
          <w:marLeft w:val="0"/>
          <w:marRight w:val="0"/>
          <w:marTop w:val="0"/>
          <w:marBottom w:val="0"/>
          <w:divBdr>
            <w:top w:val="none" w:sz="0" w:space="0" w:color="auto"/>
            <w:left w:val="none" w:sz="0" w:space="0" w:color="auto"/>
            <w:bottom w:val="none" w:sz="0" w:space="0" w:color="auto"/>
            <w:right w:val="none" w:sz="0" w:space="0" w:color="auto"/>
          </w:divBdr>
        </w:div>
        <w:div w:id="1334575975">
          <w:marLeft w:val="0"/>
          <w:marRight w:val="0"/>
          <w:marTop w:val="0"/>
          <w:marBottom w:val="0"/>
          <w:divBdr>
            <w:top w:val="none" w:sz="0" w:space="0" w:color="auto"/>
            <w:left w:val="none" w:sz="0" w:space="0" w:color="auto"/>
            <w:bottom w:val="none" w:sz="0" w:space="0" w:color="auto"/>
            <w:right w:val="none" w:sz="0" w:space="0" w:color="auto"/>
          </w:divBdr>
        </w:div>
        <w:div w:id="59449264">
          <w:marLeft w:val="0"/>
          <w:marRight w:val="0"/>
          <w:marTop w:val="0"/>
          <w:marBottom w:val="0"/>
          <w:divBdr>
            <w:top w:val="none" w:sz="0" w:space="0" w:color="auto"/>
            <w:left w:val="none" w:sz="0" w:space="0" w:color="auto"/>
            <w:bottom w:val="none" w:sz="0" w:space="0" w:color="auto"/>
            <w:right w:val="none" w:sz="0" w:space="0" w:color="auto"/>
          </w:divBdr>
        </w:div>
        <w:div w:id="851339460">
          <w:marLeft w:val="0"/>
          <w:marRight w:val="0"/>
          <w:marTop w:val="0"/>
          <w:marBottom w:val="0"/>
          <w:divBdr>
            <w:top w:val="none" w:sz="0" w:space="0" w:color="auto"/>
            <w:left w:val="none" w:sz="0" w:space="0" w:color="auto"/>
            <w:bottom w:val="none" w:sz="0" w:space="0" w:color="auto"/>
            <w:right w:val="none" w:sz="0" w:space="0" w:color="auto"/>
          </w:divBdr>
        </w:div>
        <w:div w:id="1084297214">
          <w:marLeft w:val="0"/>
          <w:marRight w:val="0"/>
          <w:marTop w:val="0"/>
          <w:marBottom w:val="0"/>
          <w:divBdr>
            <w:top w:val="none" w:sz="0" w:space="0" w:color="auto"/>
            <w:left w:val="none" w:sz="0" w:space="0" w:color="auto"/>
            <w:bottom w:val="none" w:sz="0" w:space="0" w:color="auto"/>
            <w:right w:val="none" w:sz="0" w:space="0" w:color="auto"/>
          </w:divBdr>
        </w:div>
        <w:div w:id="239565848">
          <w:marLeft w:val="0"/>
          <w:marRight w:val="0"/>
          <w:marTop w:val="0"/>
          <w:marBottom w:val="0"/>
          <w:divBdr>
            <w:top w:val="none" w:sz="0" w:space="0" w:color="auto"/>
            <w:left w:val="none" w:sz="0" w:space="0" w:color="auto"/>
            <w:bottom w:val="none" w:sz="0" w:space="0" w:color="auto"/>
            <w:right w:val="none" w:sz="0" w:space="0" w:color="auto"/>
          </w:divBdr>
        </w:div>
        <w:div w:id="1623727362">
          <w:marLeft w:val="0"/>
          <w:marRight w:val="0"/>
          <w:marTop w:val="0"/>
          <w:marBottom w:val="0"/>
          <w:divBdr>
            <w:top w:val="none" w:sz="0" w:space="0" w:color="auto"/>
            <w:left w:val="none" w:sz="0" w:space="0" w:color="auto"/>
            <w:bottom w:val="none" w:sz="0" w:space="0" w:color="auto"/>
            <w:right w:val="none" w:sz="0" w:space="0" w:color="auto"/>
          </w:divBdr>
        </w:div>
        <w:div w:id="1726835408">
          <w:marLeft w:val="0"/>
          <w:marRight w:val="0"/>
          <w:marTop w:val="0"/>
          <w:marBottom w:val="0"/>
          <w:divBdr>
            <w:top w:val="none" w:sz="0" w:space="0" w:color="auto"/>
            <w:left w:val="none" w:sz="0" w:space="0" w:color="auto"/>
            <w:bottom w:val="none" w:sz="0" w:space="0" w:color="auto"/>
            <w:right w:val="none" w:sz="0" w:space="0" w:color="auto"/>
          </w:divBdr>
        </w:div>
        <w:div w:id="1169104020">
          <w:marLeft w:val="0"/>
          <w:marRight w:val="0"/>
          <w:marTop w:val="0"/>
          <w:marBottom w:val="0"/>
          <w:divBdr>
            <w:top w:val="none" w:sz="0" w:space="0" w:color="auto"/>
            <w:left w:val="none" w:sz="0" w:space="0" w:color="auto"/>
            <w:bottom w:val="none" w:sz="0" w:space="0" w:color="auto"/>
            <w:right w:val="none" w:sz="0" w:space="0" w:color="auto"/>
          </w:divBdr>
        </w:div>
        <w:div w:id="1645771263">
          <w:marLeft w:val="0"/>
          <w:marRight w:val="0"/>
          <w:marTop w:val="0"/>
          <w:marBottom w:val="0"/>
          <w:divBdr>
            <w:top w:val="none" w:sz="0" w:space="0" w:color="auto"/>
            <w:left w:val="none" w:sz="0" w:space="0" w:color="auto"/>
            <w:bottom w:val="none" w:sz="0" w:space="0" w:color="auto"/>
            <w:right w:val="none" w:sz="0" w:space="0" w:color="auto"/>
          </w:divBdr>
        </w:div>
        <w:div w:id="1793162174">
          <w:marLeft w:val="0"/>
          <w:marRight w:val="0"/>
          <w:marTop w:val="0"/>
          <w:marBottom w:val="0"/>
          <w:divBdr>
            <w:top w:val="none" w:sz="0" w:space="0" w:color="auto"/>
            <w:left w:val="none" w:sz="0" w:space="0" w:color="auto"/>
            <w:bottom w:val="none" w:sz="0" w:space="0" w:color="auto"/>
            <w:right w:val="none" w:sz="0" w:space="0" w:color="auto"/>
          </w:divBdr>
        </w:div>
        <w:div w:id="1697191309">
          <w:marLeft w:val="0"/>
          <w:marRight w:val="0"/>
          <w:marTop w:val="0"/>
          <w:marBottom w:val="0"/>
          <w:divBdr>
            <w:top w:val="none" w:sz="0" w:space="0" w:color="auto"/>
            <w:left w:val="none" w:sz="0" w:space="0" w:color="auto"/>
            <w:bottom w:val="none" w:sz="0" w:space="0" w:color="auto"/>
            <w:right w:val="none" w:sz="0" w:space="0" w:color="auto"/>
          </w:divBdr>
        </w:div>
        <w:div w:id="1520505140">
          <w:marLeft w:val="0"/>
          <w:marRight w:val="0"/>
          <w:marTop w:val="0"/>
          <w:marBottom w:val="0"/>
          <w:divBdr>
            <w:top w:val="none" w:sz="0" w:space="0" w:color="auto"/>
            <w:left w:val="none" w:sz="0" w:space="0" w:color="auto"/>
            <w:bottom w:val="none" w:sz="0" w:space="0" w:color="auto"/>
            <w:right w:val="none" w:sz="0" w:space="0" w:color="auto"/>
          </w:divBdr>
        </w:div>
        <w:div w:id="81068182">
          <w:marLeft w:val="0"/>
          <w:marRight w:val="0"/>
          <w:marTop w:val="0"/>
          <w:marBottom w:val="0"/>
          <w:divBdr>
            <w:top w:val="none" w:sz="0" w:space="0" w:color="auto"/>
            <w:left w:val="none" w:sz="0" w:space="0" w:color="auto"/>
            <w:bottom w:val="none" w:sz="0" w:space="0" w:color="auto"/>
            <w:right w:val="none" w:sz="0" w:space="0" w:color="auto"/>
          </w:divBdr>
        </w:div>
        <w:div w:id="43526056">
          <w:marLeft w:val="0"/>
          <w:marRight w:val="0"/>
          <w:marTop w:val="0"/>
          <w:marBottom w:val="0"/>
          <w:divBdr>
            <w:top w:val="none" w:sz="0" w:space="0" w:color="auto"/>
            <w:left w:val="none" w:sz="0" w:space="0" w:color="auto"/>
            <w:bottom w:val="none" w:sz="0" w:space="0" w:color="auto"/>
            <w:right w:val="none" w:sz="0" w:space="0" w:color="auto"/>
          </w:divBdr>
        </w:div>
      </w:divsChild>
    </w:div>
    <w:div w:id="918640043">
      <w:bodyDiv w:val="1"/>
      <w:marLeft w:val="0"/>
      <w:marRight w:val="0"/>
      <w:marTop w:val="0"/>
      <w:marBottom w:val="0"/>
      <w:divBdr>
        <w:top w:val="none" w:sz="0" w:space="0" w:color="auto"/>
        <w:left w:val="none" w:sz="0" w:space="0" w:color="auto"/>
        <w:bottom w:val="none" w:sz="0" w:space="0" w:color="auto"/>
        <w:right w:val="none" w:sz="0" w:space="0" w:color="auto"/>
      </w:divBdr>
    </w:div>
    <w:div w:id="943805186">
      <w:bodyDiv w:val="1"/>
      <w:marLeft w:val="0"/>
      <w:marRight w:val="0"/>
      <w:marTop w:val="0"/>
      <w:marBottom w:val="0"/>
      <w:divBdr>
        <w:top w:val="none" w:sz="0" w:space="0" w:color="auto"/>
        <w:left w:val="none" w:sz="0" w:space="0" w:color="auto"/>
        <w:bottom w:val="none" w:sz="0" w:space="0" w:color="auto"/>
        <w:right w:val="none" w:sz="0" w:space="0" w:color="auto"/>
      </w:divBdr>
      <w:divsChild>
        <w:div w:id="364524388">
          <w:marLeft w:val="0"/>
          <w:marRight w:val="0"/>
          <w:marTop w:val="0"/>
          <w:marBottom w:val="0"/>
          <w:divBdr>
            <w:top w:val="none" w:sz="0" w:space="0" w:color="auto"/>
            <w:left w:val="none" w:sz="0" w:space="0" w:color="auto"/>
            <w:bottom w:val="none" w:sz="0" w:space="0" w:color="auto"/>
            <w:right w:val="none" w:sz="0" w:space="0" w:color="auto"/>
          </w:divBdr>
        </w:div>
        <w:div w:id="612370917">
          <w:marLeft w:val="0"/>
          <w:marRight w:val="0"/>
          <w:marTop w:val="0"/>
          <w:marBottom w:val="0"/>
          <w:divBdr>
            <w:top w:val="none" w:sz="0" w:space="0" w:color="auto"/>
            <w:left w:val="none" w:sz="0" w:space="0" w:color="auto"/>
            <w:bottom w:val="none" w:sz="0" w:space="0" w:color="auto"/>
            <w:right w:val="none" w:sz="0" w:space="0" w:color="auto"/>
          </w:divBdr>
        </w:div>
      </w:divsChild>
    </w:div>
    <w:div w:id="959800075">
      <w:bodyDiv w:val="1"/>
      <w:marLeft w:val="0"/>
      <w:marRight w:val="0"/>
      <w:marTop w:val="0"/>
      <w:marBottom w:val="0"/>
      <w:divBdr>
        <w:top w:val="none" w:sz="0" w:space="0" w:color="auto"/>
        <w:left w:val="none" w:sz="0" w:space="0" w:color="auto"/>
        <w:bottom w:val="none" w:sz="0" w:space="0" w:color="auto"/>
        <w:right w:val="none" w:sz="0" w:space="0" w:color="auto"/>
      </w:divBdr>
    </w:div>
    <w:div w:id="1002900244">
      <w:bodyDiv w:val="1"/>
      <w:marLeft w:val="0"/>
      <w:marRight w:val="0"/>
      <w:marTop w:val="0"/>
      <w:marBottom w:val="0"/>
      <w:divBdr>
        <w:top w:val="none" w:sz="0" w:space="0" w:color="auto"/>
        <w:left w:val="none" w:sz="0" w:space="0" w:color="auto"/>
        <w:bottom w:val="none" w:sz="0" w:space="0" w:color="auto"/>
        <w:right w:val="none" w:sz="0" w:space="0" w:color="auto"/>
      </w:divBdr>
    </w:div>
    <w:div w:id="1015576228">
      <w:bodyDiv w:val="1"/>
      <w:marLeft w:val="0"/>
      <w:marRight w:val="0"/>
      <w:marTop w:val="0"/>
      <w:marBottom w:val="0"/>
      <w:divBdr>
        <w:top w:val="none" w:sz="0" w:space="0" w:color="auto"/>
        <w:left w:val="none" w:sz="0" w:space="0" w:color="auto"/>
        <w:bottom w:val="none" w:sz="0" w:space="0" w:color="auto"/>
        <w:right w:val="none" w:sz="0" w:space="0" w:color="auto"/>
      </w:divBdr>
    </w:div>
    <w:div w:id="1050421452">
      <w:bodyDiv w:val="1"/>
      <w:marLeft w:val="0"/>
      <w:marRight w:val="0"/>
      <w:marTop w:val="0"/>
      <w:marBottom w:val="0"/>
      <w:divBdr>
        <w:top w:val="none" w:sz="0" w:space="0" w:color="auto"/>
        <w:left w:val="none" w:sz="0" w:space="0" w:color="auto"/>
        <w:bottom w:val="none" w:sz="0" w:space="0" w:color="auto"/>
        <w:right w:val="none" w:sz="0" w:space="0" w:color="auto"/>
      </w:divBdr>
    </w:div>
    <w:div w:id="1085885029">
      <w:bodyDiv w:val="1"/>
      <w:marLeft w:val="0"/>
      <w:marRight w:val="0"/>
      <w:marTop w:val="0"/>
      <w:marBottom w:val="0"/>
      <w:divBdr>
        <w:top w:val="none" w:sz="0" w:space="0" w:color="auto"/>
        <w:left w:val="none" w:sz="0" w:space="0" w:color="auto"/>
        <w:bottom w:val="none" w:sz="0" w:space="0" w:color="auto"/>
        <w:right w:val="none" w:sz="0" w:space="0" w:color="auto"/>
      </w:divBdr>
    </w:div>
    <w:div w:id="1137340702">
      <w:bodyDiv w:val="1"/>
      <w:marLeft w:val="0"/>
      <w:marRight w:val="0"/>
      <w:marTop w:val="0"/>
      <w:marBottom w:val="0"/>
      <w:divBdr>
        <w:top w:val="none" w:sz="0" w:space="0" w:color="auto"/>
        <w:left w:val="none" w:sz="0" w:space="0" w:color="auto"/>
        <w:bottom w:val="none" w:sz="0" w:space="0" w:color="auto"/>
        <w:right w:val="none" w:sz="0" w:space="0" w:color="auto"/>
      </w:divBdr>
      <w:divsChild>
        <w:div w:id="1109593205">
          <w:marLeft w:val="0"/>
          <w:marRight w:val="0"/>
          <w:marTop w:val="0"/>
          <w:marBottom w:val="0"/>
          <w:divBdr>
            <w:top w:val="none" w:sz="0" w:space="0" w:color="auto"/>
            <w:left w:val="none" w:sz="0" w:space="0" w:color="auto"/>
            <w:bottom w:val="none" w:sz="0" w:space="0" w:color="auto"/>
            <w:right w:val="none" w:sz="0" w:space="0" w:color="auto"/>
          </w:divBdr>
        </w:div>
        <w:div w:id="42600282">
          <w:marLeft w:val="0"/>
          <w:marRight w:val="0"/>
          <w:marTop w:val="0"/>
          <w:marBottom w:val="0"/>
          <w:divBdr>
            <w:top w:val="none" w:sz="0" w:space="0" w:color="auto"/>
            <w:left w:val="none" w:sz="0" w:space="0" w:color="auto"/>
            <w:bottom w:val="none" w:sz="0" w:space="0" w:color="auto"/>
            <w:right w:val="none" w:sz="0" w:space="0" w:color="auto"/>
          </w:divBdr>
        </w:div>
      </w:divsChild>
    </w:div>
    <w:div w:id="1195967634">
      <w:bodyDiv w:val="1"/>
      <w:marLeft w:val="0"/>
      <w:marRight w:val="0"/>
      <w:marTop w:val="0"/>
      <w:marBottom w:val="0"/>
      <w:divBdr>
        <w:top w:val="none" w:sz="0" w:space="0" w:color="auto"/>
        <w:left w:val="none" w:sz="0" w:space="0" w:color="auto"/>
        <w:bottom w:val="none" w:sz="0" w:space="0" w:color="auto"/>
        <w:right w:val="none" w:sz="0" w:space="0" w:color="auto"/>
      </w:divBdr>
      <w:divsChild>
        <w:div w:id="261307478">
          <w:marLeft w:val="0"/>
          <w:marRight w:val="0"/>
          <w:marTop w:val="0"/>
          <w:marBottom w:val="0"/>
          <w:divBdr>
            <w:top w:val="none" w:sz="0" w:space="0" w:color="auto"/>
            <w:left w:val="none" w:sz="0" w:space="0" w:color="auto"/>
            <w:bottom w:val="none" w:sz="0" w:space="0" w:color="auto"/>
            <w:right w:val="none" w:sz="0" w:space="0" w:color="auto"/>
          </w:divBdr>
        </w:div>
        <w:div w:id="1235429504">
          <w:marLeft w:val="0"/>
          <w:marRight w:val="0"/>
          <w:marTop w:val="0"/>
          <w:marBottom w:val="0"/>
          <w:divBdr>
            <w:top w:val="none" w:sz="0" w:space="0" w:color="auto"/>
            <w:left w:val="none" w:sz="0" w:space="0" w:color="auto"/>
            <w:bottom w:val="none" w:sz="0" w:space="0" w:color="auto"/>
            <w:right w:val="none" w:sz="0" w:space="0" w:color="auto"/>
          </w:divBdr>
        </w:div>
        <w:div w:id="1435591557">
          <w:marLeft w:val="0"/>
          <w:marRight w:val="0"/>
          <w:marTop w:val="0"/>
          <w:marBottom w:val="0"/>
          <w:divBdr>
            <w:top w:val="none" w:sz="0" w:space="0" w:color="auto"/>
            <w:left w:val="none" w:sz="0" w:space="0" w:color="auto"/>
            <w:bottom w:val="none" w:sz="0" w:space="0" w:color="auto"/>
            <w:right w:val="none" w:sz="0" w:space="0" w:color="auto"/>
          </w:divBdr>
        </w:div>
        <w:div w:id="504513393">
          <w:marLeft w:val="0"/>
          <w:marRight w:val="0"/>
          <w:marTop w:val="0"/>
          <w:marBottom w:val="0"/>
          <w:divBdr>
            <w:top w:val="none" w:sz="0" w:space="0" w:color="auto"/>
            <w:left w:val="none" w:sz="0" w:space="0" w:color="auto"/>
            <w:bottom w:val="none" w:sz="0" w:space="0" w:color="auto"/>
            <w:right w:val="none" w:sz="0" w:space="0" w:color="auto"/>
          </w:divBdr>
        </w:div>
        <w:div w:id="1423987923">
          <w:marLeft w:val="0"/>
          <w:marRight w:val="0"/>
          <w:marTop w:val="0"/>
          <w:marBottom w:val="0"/>
          <w:divBdr>
            <w:top w:val="none" w:sz="0" w:space="0" w:color="auto"/>
            <w:left w:val="none" w:sz="0" w:space="0" w:color="auto"/>
            <w:bottom w:val="none" w:sz="0" w:space="0" w:color="auto"/>
            <w:right w:val="none" w:sz="0" w:space="0" w:color="auto"/>
          </w:divBdr>
        </w:div>
        <w:div w:id="1254390766">
          <w:marLeft w:val="0"/>
          <w:marRight w:val="0"/>
          <w:marTop w:val="0"/>
          <w:marBottom w:val="0"/>
          <w:divBdr>
            <w:top w:val="none" w:sz="0" w:space="0" w:color="auto"/>
            <w:left w:val="none" w:sz="0" w:space="0" w:color="auto"/>
            <w:bottom w:val="none" w:sz="0" w:space="0" w:color="auto"/>
            <w:right w:val="none" w:sz="0" w:space="0" w:color="auto"/>
          </w:divBdr>
        </w:div>
        <w:div w:id="2089422822">
          <w:marLeft w:val="0"/>
          <w:marRight w:val="0"/>
          <w:marTop w:val="0"/>
          <w:marBottom w:val="0"/>
          <w:divBdr>
            <w:top w:val="none" w:sz="0" w:space="0" w:color="auto"/>
            <w:left w:val="none" w:sz="0" w:space="0" w:color="auto"/>
            <w:bottom w:val="none" w:sz="0" w:space="0" w:color="auto"/>
            <w:right w:val="none" w:sz="0" w:space="0" w:color="auto"/>
          </w:divBdr>
        </w:div>
        <w:div w:id="1952659851">
          <w:marLeft w:val="0"/>
          <w:marRight w:val="0"/>
          <w:marTop w:val="0"/>
          <w:marBottom w:val="0"/>
          <w:divBdr>
            <w:top w:val="none" w:sz="0" w:space="0" w:color="auto"/>
            <w:left w:val="none" w:sz="0" w:space="0" w:color="auto"/>
            <w:bottom w:val="none" w:sz="0" w:space="0" w:color="auto"/>
            <w:right w:val="none" w:sz="0" w:space="0" w:color="auto"/>
          </w:divBdr>
        </w:div>
        <w:div w:id="392313521">
          <w:marLeft w:val="0"/>
          <w:marRight w:val="0"/>
          <w:marTop w:val="0"/>
          <w:marBottom w:val="0"/>
          <w:divBdr>
            <w:top w:val="none" w:sz="0" w:space="0" w:color="auto"/>
            <w:left w:val="none" w:sz="0" w:space="0" w:color="auto"/>
            <w:bottom w:val="none" w:sz="0" w:space="0" w:color="auto"/>
            <w:right w:val="none" w:sz="0" w:space="0" w:color="auto"/>
          </w:divBdr>
        </w:div>
        <w:div w:id="1035614493">
          <w:marLeft w:val="0"/>
          <w:marRight w:val="0"/>
          <w:marTop w:val="0"/>
          <w:marBottom w:val="0"/>
          <w:divBdr>
            <w:top w:val="none" w:sz="0" w:space="0" w:color="auto"/>
            <w:left w:val="none" w:sz="0" w:space="0" w:color="auto"/>
            <w:bottom w:val="none" w:sz="0" w:space="0" w:color="auto"/>
            <w:right w:val="none" w:sz="0" w:space="0" w:color="auto"/>
          </w:divBdr>
        </w:div>
        <w:div w:id="778918008">
          <w:marLeft w:val="0"/>
          <w:marRight w:val="0"/>
          <w:marTop w:val="0"/>
          <w:marBottom w:val="0"/>
          <w:divBdr>
            <w:top w:val="none" w:sz="0" w:space="0" w:color="auto"/>
            <w:left w:val="none" w:sz="0" w:space="0" w:color="auto"/>
            <w:bottom w:val="none" w:sz="0" w:space="0" w:color="auto"/>
            <w:right w:val="none" w:sz="0" w:space="0" w:color="auto"/>
          </w:divBdr>
        </w:div>
        <w:div w:id="572855372">
          <w:marLeft w:val="0"/>
          <w:marRight w:val="0"/>
          <w:marTop w:val="0"/>
          <w:marBottom w:val="0"/>
          <w:divBdr>
            <w:top w:val="none" w:sz="0" w:space="0" w:color="auto"/>
            <w:left w:val="none" w:sz="0" w:space="0" w:color="auto"/>
            <w:bottom w:val="none" w:sz="0" w:space="0" w:color="auto"/>
            <w:right w:val="none" w:sz="0" w:space="0" w:color="auto"/>
          </w:divBdr>
        </w:div>
        <w:div w:id="991716296">
          <w:marLeft w:val="0"/>
          <w:marRight w:val="0"/>
          <w:marTop w:val="0"/>
          <w:marBottom w:val="0"/>
          <w:divBdr>
            <w:top w:val="none" w:sz="0" w:space="0" w:color="auto"/>
            <w:left w:val="none" w:sz="0" w:space="0" w:color="auto"/>
            <w:bottom w:val="none" w:sz="0" w:space="0" w:color="auto"/>
            <w:right w:val="none" w:sz="0" w:space="0" w:color="auto"/>
          </w:divBdr>
        </w:div>
        <w:div w:id="296764799">
          <w:marLeft w:val="0"/>
          <w:marRight w:val="0"/>
          <w:marTop w:val="0"/>
          <w:marBottom w:val="0"/>
          <w:divBdr>
            <w:top w:val="none" w:sz="0" w:space="0" w:color="auto"/>
            <w:left w:val="none" w:sz="0" w:space="0" w:color="auto"/>
            <w:bottom w:val="none" w:sz="0" w:space="0" w:color="auto"/>
            <w:right w:val="none" w:sz="0" w:space="0" w:color="auto"/>
          </w:divBdr>
        </w:div>
        <w:div w:id="670714627">
          <w:marLeft w:val="0"/>
          <w:marRight w:val="0"/>
          <w:marTop w:val="0"/>
          <w:marBottom w:val="0"/>
          <w:divBdr>
            <w:top w:val="none" w:sz="0" w:space="0" w:color="auto"/>
            <w:left w:val="none" w:sz="0" w:space="0" w:color="auto"/>
            <w:bottom w:val="none" w:sz="0" w:space="0" w:color="auto"/>
            <w:right w:val="none" w:sz="0" w:space="0" w:color="auto"/>
          </w:divBdr>
        </w:div>
        <w:div w:id="1254314585">
          <w:marLeft w:val="0"/>
          <w:marRight w:val="0"/>
          <w:marTop w:val="0"/>
          <w:marBottom w:val="0"/>
          <w:divBdr>
            <w:top w:val="none" w:sz="0" w:space="0" w:color="auto"/>
            <w:left w:val="none" w:sz="0" w:space="0" w:color="auto"/>
            <w:bottom w:val="none" w:sz="0" w:space="0" w:color="auto"/>
            <w:right w:val="none" w:sz="0" w:space="0" w:color="auto"/>
          </w:divBdr>
        </w:div>
        <w:div w:id="812023433">
          <w:marLeft w:val="0"/>
          <w:marRight w:val="0"/>
          <w:marTop w:val="0"/>
          <w:marBottom w:val="0"/>
          <w:divBdr>
            <w:top w:val="none" w:sz="0" w:space="0" w:color="auto"/>
            <w:left w:val="none" w:sz="0" w:space="0" w:color="auto"/>
            <w:bottom w:val="none" w:sz="0" w:space="0" w:color="auto"/>
            <w:right w:val="none" w:sz="0" w:space="0" w:color="auto"/>
          </w:divBdr>
        </w:div>
        <w:div w:id="1889025408">
          <w:marLeft w:val="0"/>
          <w:marRight w:val="0"/>
          <w:marTop w:val="0"/>
          <w:marBottom w:val="0"/>
          <w:divBdr>
            <w:top w:val="none" w:sz="0" w:space="0" w:color="auto"/>
            <w:left w:val="none" w:sz="0" w:space="0" w:color="auto"/>
            <w:bottom w:val="none" w:sz="0" w:space="0" w:color="auto"/>
            <w:right w:val="none" w:sz="0" w:space="0" w:color="auto"/>
          </w:divBdr>
        </w:div>
      </w:divsChild>
    </w:div>
    <w:div w:id="1201163555">
      <w:bodyDiv w:val="1"/>
      <w:marLeft w:val="0"/>
      <w:marRight w:val="0"/>
      <w:marTop w:val="0"/>
      <w:marBottom w:val="0"/>
      <w:divBdr>
        <w:top w:val="none" w:sz="0" w:space="0" w:color="auto"/>
        <w:left w:val="none" w:sz="0" w:space="0" w:color="auto"/>
        <w:bottom w:val="none" w:sz="0" w:space="0" w:color="auto"/>
        <w:right w:val="none" w:sz="0" w:space="0" w:color="auto"/>
      </w:divBdr>
      <w:divsChild>
        <w:div w:id="1644309586">
          <w:marLeft w:val="0"/>
          <w:marRight w:val="0"/>
          <w:marTop w:val="0"/>
          <w:marBottom w:val="0"/>
          <w:divBdr>
            <w:top w:val="none" w:sz="0" w:space="0" w:color="auto"/>
            <w:left w:val="none" w:sz="0" w:space="0" w:color="auto"/>
            <w:bottom w:val="none" w:sz="0" w:space="0" w:color="auto"/>
            <w:right w:val="none" w:sz="0" w:space="0" w:color="auto"/>
          </w:divBdr>
        </w:div>
        <w:div w:id="1795908041">
          <w:marLeft w:val="0"/>
          <w:marRight w:val="0"/>
          <w:marTop w:val="0"/>
          <w:marBottom w:val="0"/>
          <w:divBdr>
            <w:top w:val="none" w:sz="0" w:space="0" w:color="auto"/>
            <w:left w:val="none" w:sz="0" w:space="0" w:color="auto"/>
            <w:bottom w:val="none" w:sz="0" w:space="0" w:color="auto"/>
            <w:right w:val="none" w:sz="0" w:space="0" w:color="auto"/>
          </w:divBdr>
        </w:div>
        <w:div w:id="1904634688">
          <w:marLeft w:val="0"/>
          <w:marRight w:val="0"/>
          <w:marTop w:val="0"/>
          <w:marBottom w:val="0"/>
          <w:divBdr>
            <w:top w:val="none" w:sz="0" w:space="0" w:color="auto"/>
            <w:left w:val="none" w:sz="0" w:space="0" w:color="auto"/>
            <w:bottom w:val="none" w:sz="0" w:space="0" w:color="auto"/>
            <w:right w:val="none" w:sz="0" w:space="0" w:color="auto"/>
          </w:divBdr>
        </w:div>
        <w:div w:id="569075435">
          <w:marLeft w:val="0"/>
          <w:marRight w:val="0"/>
          <w:marTop w:val="0"/>
          <w:marBottom w:val="0"/>
          <w:divBdr>
            <w:top w:val="none" w:sz="0" w:space="0" w:color="auto"/>
            <w:left w:val="none" w:sz="0" w:space="0" w:color="auto"/>
            <w:bottom w:val="none" w:sz="0" w:space="0" w:color="auto"/>
            <w:right w:val="none" w:sz="0" w:space="0" w:color="auto"/>
          </w:divBdr>
        </w:div>
        <w:div w:id="2050032104">
          <w:marLeft w:val="0"/>
          <w:marRight w:val="0"/>
          <w:marTop w:val="0"/>
          <w:marBottom w:val="0"/>
          <w:divBdr>
            <w:top w:val="none" w:sz="0" w:space="0" w:color="auto"/>
            <w:left w:val="none" w:sz="0" w:space="0" w:color="auto"/>
            <w:bottom w:val="none" w:sz="0" w:space="0" w:color="auto"/>
            <w:right w:val="none" w:sz="0" w:space="0" w:color="auto"/>
          </w:divBdr>
        </w:div>
      </w:divsChild>
    </w:div>
    <w:div w:id="1246568674">
      <w:bodyDiv w:val="1"/>
      <w:marLeft w:val="0"/>
      <w:marRight w:val="0"/>
      <w:marTop w:val="0"/>
      <w:marBottom w:val="0"/>
      <w:divBdr>
        <w:top w:val="none" w:sz="0" w:space="0" w:color="auto"/>
        <w:left w:val="none" w:sz="0" w:space="0" w:color="auto"/>
        <w:bottom w:val="none" w:sz="0" w:space="0" w:color="auto"/>
        <w:right w:val="none" w:sz="0" w:space="0" w:color="auto"/>
      </w:divBdr>
    </w:div>
    <w:div w:id="1286350069">
      <w:bodyDiv w:val="1"/>
      <w:marLeft w:val="0"/>
      <w:marRight w:val="0"/>
      <w:marTop w:val="0"/>
      <w:marBottom w:val="0"/>
      <w:divBdr>
        <w:top w:val="none" w:sz="0" w:space="0" w:color="auto"/>
        <w:left w:val="none" w:sz="0" w:space="0" w:color="auto"/>
        <w:bottom w:val="none" w:sz="0" w:space="0" w:color="auto"/>
        <w:right w:val="none" w:sz="0" w:space="0" w:color="auto"/>
      </w:divBdr>
    </w:div>
    <w:div w:id="1315184078">
      <w:bodyDiv w:val="1"/>
      <w:marLeft w:val="0"/>
      <w:marRight w:val="0"/>
      <w:marTop w:val="0"/>
      <w:marBottom w:val="0"/>
      <w:divBdr>
        <w:top w:val="none" w:sz="0" w:space="0" w:color="auto"/>
        <w:left w:val="none" w:sz="0" w:space="0" w:color="auto"/>
        <w:bottom w:val="none" w:sz="0" w:space="0" w:color="auto"/>
        <w:right w:val="none" w:sz="0" w:space="0" w:color="auto"/>
      </w:divBdr>
    </w:div>
    <w:div w:id="1320378759">
      <w:bodyDiv w:val="1"/>
      <w:marLeft w:val="0"/>
      <w:marRight w:val="0"/>
      <w:marTop w:val="0"/>
      <w:marBottom w:val="0"/>
      <w:divBdr>
        <w:top w:val="none" w:sz="0" w:space="0" w:color="auto"/>
        <w:left w:val="none" w:sz="0" w:space="0" w:color="auto"/>
        <w:bottom w:val="none" w:sz="0" w:space="0" w:color="auto"/>
        <w:right w:val="none" w:sz="0" w:space="0" w:color="auto"/>
      </w:divBdr>
    </w:div>
    <w:div w:id="1364133695">
      <w:bodyDiv w:val="1"/>
      <w:marLeft w:val="0"/>
      <w:marRight w:val="0"/>
      <w:marTop w:val="0"/>
      <w:marBottom w:val="0"/>
      <w:divBdr>
        <w:top w:val="none" w:sz="0" w:space="0" w:color="auto"/>
        <w:left w:val="none" w:sz="0" w:space="0" w:color="auto"/>
        <w:bottom w:val="none" w:sz="0" w:space="0" w:color="auto"/>
        <w:right w:val="none" w:sz="0" w:space="0" w:color="auto"/>
      </w:divBdr>
      <w:divsChild>
        <w:div w:id="853688672">
          <w:marLeft w:val="0"/>
          <w:marRight w:val="0"/>
          <w:marTop w:val="0"/>
          <w:marBottom w:val="0"/>
          <w:divBdr>
            <w:top w:val="none" w:sz="0" w:space="0" w:color="auto"/>
            <w:left w:val="none" w:sz="0" w:space="0" w:color="auto"/>
            <w:bottom w:val="none" w:sz="0" w:space="0" w:color="auto"/>
            <w:right w:val="none" w:sz="0" w:space="0" w:color="auto"/>
          </w:divBdr>
        </w:div>
        <w:div w:id="559631188">
          <w:marLeft w:val="0"/>
          <w:marRight w:val="0"/>
          <w:marTop w:val="0"/>
          <w:marBottom w:val="0"/>
          <w:divBdr>
            <w:top w:val="none" w:sz="0" w:space="0" w:color="auto"/>
            <w:left w:val="none" w:sz="0" w:space="0" w:color="auto"/>
            <w:bottom w:val="none" w:sz="0" w:space="0" w:color="auto"/>
            <w:right w:val="none" w:sz="0" w:space="0" w:color="auto"/>
          </w:divBdr>
        </w:div>
        <w:div w:id="1981694219">
          <w:marLeft w:val="0"/>
          <w:marRight w:val="0"/>
          <w:marTop w:val="0"/>
          <w:marBottom w:val="0"/>
          <w:divBdr>
            <w:top w:val="none" w:sz="0" w:space="0" w:color="auto"/>
            <w:left w:val="none" w:sz="0" w:space="0" w:color="auto"/>
            <w:bottom w:val="none" w:sz="0" w:space="0" w:color="auto"/>
            <w:right w:val="none" w:sz="0" w:space="0" w:color="auto"/>
          </w:divBdr>
        </w:div>
        <w:div w:id="1375078953">
          <w:marLeft w:val="0"/>
          <w:marRight w:val="0"/>
          <w:marTop w:val="0"/>
          <w:marBottom w:val="0"/>
          <w:divBdr>
            <w:top w:val="none" w:sz="0" w:space="0" w:color="auto"/>
            <w:left w:val="none" w:sz="0" w:space="0" w:color="auto"/>
            <w:bottom w:val="none" w:sz="0" w:space="0" w:color="auto"/>
            <w:right w:val="none" w:sz="0" w:space="0" w:color="auto"/>
          </w:divBdr>
        </w:div>
        <w:div w:id="1443265319">
          <w:marLeft w:val="0"/>
          <w:marRight w:val="0"/>
          <w:marTop w:val="0"/>
          <w:marBottom w:val="0"/>
          <w:divBdr>
            <w:top w:val="none" w:sz="0" w:space="0" w:color="auto"/>
            <w:left w:val="none" w:sz="0" w:space="0" w:color="auto"/>
            <w:bottom w:val="none" w:sz="0" w:space="0" w:color="auto"/>
            <w:right w:val="none" w:sz="0" w:space="0" w:color="auto"/>
          </w:divBdr>
        </w:div>
        <w:div w:id="1156189314">
          <w:marLeft w:val="0"/>
          <w:marRight w:val="0"/>
          <w:marTop w:val="0"/>
          <w:marBottom w:val="0"/>
          <w:divBdr>
            <w:top w:val="none" w:sz="0" w:space="0" w:color="auto"/>
            <w:left w:val="none" w:sz="0" w:space="0" w:color="auto"/>
            <w:bottom w:val="none" w:sz="0" w:space="0" w:color="auto"/>
            <w:right w:val="none" w:sz="0" w:space="0" w:color="auto"/>
          </w:divBdr>
        </w:div>
        <w:div w:id="1481535660">
          <w:marLeft w:val="0"/>
          <w:marRight w:val="0"/>
          <w:marTop w:val="0"/>
          <w:marBottom w:val="0"/>
          <w:divBdr>
            <w:top w:val="none" w:sz="0" w:space="0" w:color="auto"/>
            <w:left w:val="none" w:sz="0" w:space="0" w:color="auto"/>
            <w:bottom w:val="none" w:sz="0" w:space="0" w:color="auto"/>
            <w:right w:val="none" w:sz="0" w:space="0" w:color="auto"/>
          </w:divBdr>
        </w:div>
        <w:div w:id="836846592">
          <w:marLeft w:val="0"/>
          <w:marRight w:val="0"/>
          <w:marTop w:val="0"/>
          <w:marBottom w:val="0"/>
          <w:divBdr>
            <w:top w:val="none" w:sz="0" w:space="0" w:color="auto"/>
            <w:left w:val="none" w:sz="0" w:space="0" w:color="auto"/>
            <w:bottom w:val="none" w:sz="0" w:space="0" w:color="auto"/>
            <w:right w:val="none" w:sz="0" w:space="0" w:color="auto"/>
          </w:divBdr>
        </w:div>
        <w:div w:id="1080061864">
          <w:marLeft w:val="0"/>
          <w:marRight w:val="0"/>
          <w:marTop w:val="0"/>
          <w:marBottom w:val="0"/>
          <w:divBdr>
            <w:top w:val="none" w:sz="0" w:space="0" w:color="auto"/>
            <w:left w:val="none" w:sz="0" w:space="0" w:color="auto"/>
            <w:bottom w:val="none" w:sz="0" w:space="0" w:color="auto"/>
            <w:right w:val="none" w:sz="0" w:space="0" w:color="auto"/>
          </w:divBdr>
        </w:div>
        <w:div w:id="817841892">
          <w:marLeft w:val="0"/>
          <w:marRight w:val="0"/>
          <w:marTop w:val="0"/>
          <w:marBottom w:val="0"/>
          <w:divBdr>
            <w:top w:val="none" w:sz="0" w:space="0" w:color="auto"/>
            <w:left w:val="none" w:sz="0" w:space="0" w:color="auto"/>
            <w:bottom w:val="none" w:sz="0" w:space="0" w:color="auto"/>
            <w:right w:val="none" w:sz="0" w:space="0" w:color="auto"/>
          </w:divBdr>
        </w:div>
        <w:div w:id="1087657220">
          <w:marLeft w:val="0"/>
          <w:marRight w:val="0"/>
          <w:marTop w:val="0"/>
          <w:marBottom w:val="0"/>
          <w:divBdr>
            <w:top w:val="none" w:sz="0" w:space="0" w:color="auto"/>
            <w:left w:val="none" w:sz="0" w:space="0" w:color="auto"/>
            <w:bottom w:val="none" w:sz="0" w:space="0" w:color="auto"/>
            <w:right w:val="none" w:sz="0" w:space="0" w:color="auto"/>
          </w:divBdr>
        </w:div>
        <w:div w:id="155611762">
          <w:marLeft w:val="0"/>
          <w:marRight w:val="0"/>
          <w:marTop w:val="0"/>
          <w:marBottom w:val="0"/>
          <w:divBdr>
            <w:top w:val="none" w:sz="0" w:space="0" w:color="auto"/>
            <w:left w:val="none" w:sz="0" w:space="0" w:color="auto"/>
            <w:bottom w:val="none" w:sz="0" w:space="0" w:color="auto"/>
            <w:right w:val="none" w:sz="0" w:space="0" w:color="auto"/>
          </w:divBdr>
        </w:div>
        <w:div w:id="853229760">
          <w:marLeft w:val="0"/>
          <w:marRight w:val="0"/>
          <w:marTop w:val="0"/>
          <w:marBottom w:val="0"/>
          <w:divBdr>
            <w:top w:val="none" w:sz="0" w:space="0" w:color="auto"/>
            <w:left w:val="none" w:sz="0" w:space="0" w:color="auto"/>
            <w:bottom w:val="none" w:sz="0" w:space="0" w:color="auto"/>
            <w:right w:val="none" w:sz="0" w:space="0" w:color="auto"/>
          </w:divBdr>
        </w:div>
        <w:div w:id="696852991">
          <w:marLeft w:val="0"/>
          <w:marRight w:val="0"/>
          <w:marTop w:val="0"/>
          <w:marBottom w:val="0"/>
          <w:divBdr>
            <w:top w:val="none" w:sz="0" w:space="0" w:color="auto"/>
            <w:left w:val="none" w:sz="0" w:space="0" w:color="auto"/>
            <w:bottom w:val="none" w:sz="0" w:space="0" w:color="auto"/>
            <w:right w:val="none" w:sz="0" w:space="0" w:color="auto"/>
          </w:divBdr>
        </w:div>
        <w:div w:id="1471097753">
          <w:marLeft w:val="0"/>
          <w:marRight w:val="0"/>
          <w:marTop w:val="0"/>
          <w:marBottom w:val="0"/>
          <w:divBdr>
            <w:top w:val="none" w:sz="0" w:space="0" w:color="auto"/>
            <w:left w:val="none" w:sz="0" w:space="0" w:color="auto"/>
            <w:bottom w:val="none" w:sz="0" w:space="0" w:color="auto"/>
            <w:right w:val="none" w:sz="0" w:space="0" w:color="auto"/>
          </w:divBdr>
        </w:div>
        <w:div w:id="550653619">
          <w:marLeft w:val="0"/>
          <w:marRight w:val="0"/>
          <w:marTop w:val="0"/>
          <w:marBottom w:val="0"/>
          <w:divBdr>
            <w:top w:val="none" w:sz="0" w:space="0" w:color="auto"/>
            <w:left w:val="none" w:sz="0" w:space="0" w:color="auto"/>
            <w:bottom w:val="none" w:sz="0" w:space="0" w:color="auto"/>
            <w:right w:val="none" w:sz="0" w:space="0" w:color="auto"/>
          </w:divBdr>
        </w:div>
        <w:div w:id="1234006283">
          <w:marLeft w:val="0"/>
          <w:marRight w:val="0"/>
          <w:marTop w:val="0"/>
          <w:marBottom w:val="0"/>
          <w:divBdr>
            <w:top w:val="none" w:sz="0" w:space="0" w:color="auto"/>
            <w:left w:val="none" w:sz="0" w:space="0" w:color="auto"/>
            <w:bottom w:val="none" w:sz="0" w:space="0" w:color="auto"/>
            <w:right w:val="none" w:sz="0" w:space="0" w:color="auto"/>
          </w:divBdr>
        </w:div>
        <w:div w:id="1772167372">
          <w:marLeft w:val="0"/>
          <w:marRight w:val="0"/>
          <w:marTop w:val="0"/>
          <w:marBottom w:val="0"/>
          <w:divBdr>
            <w:top w:val="none" w:sz="0" w:space="0" w:color="auto"/>
            <w:left w:val="none" w:sz="0" w:space="0" w:color="auto"/>
            <w:bottom w:val="none" w:sz="0" w:space="0" w:color="auto"/>
            <w:right w:val="none" w:sz="0" w:space="0" w:color="auto"/>
          </w:divBdr>
        </w:div>
        <w:div w:id="1033574609">
          <w:marLeft w:val="0"/>
          <w:marRight w:val="0"/>
          <w:marTop w:val="0"/>
          <w:marBottom w:val="0"/>
          <w:divBdr>
            <w:top w:val="none" w:sz="0" w:space="0" w:color="auto"/>
            <w:left w:val="none" w:sz="0" w:space="0" w:color="auto"/>
            <w:bottom w:val="none" w:sz="0" w:space="0" w:color="auto"/>
            <w:right w:val="none" w:sz="0" w:space="0" w:color="auto"/>
          </w:divBdr>
        </w:div>
        <w:div w:id="595141761">
          <w:marLeft w:val="0"/>
          <w:marRight w:val="0"/>
          <w:marTop w:val="0"/>
          <w:marBottom w:val="0"/>
          <w:divBdr>
            <w:top w:val="none" w:sz="0" w:space="0" w:color="auto"/>
            <w:left w:val="none" w:sz="0" w:space="0" w:color="auto"/>
            <w:bottom w:val="none" w:sz="0" w:space="0" w:color="auto"/>
            <w:right w:val="none" w:sz="0" w:space="0" w:color="auto"/>
          </w:divBdr>
        </w:div>
        <w:div w:id="1771774771">
          <w:marLeft w:val="0"/>
          <w:marRight w:val="0"/>
          <w:marTop w:val="0"/>
          <w:marBottom w:val="0"/>
          <w:divBdr>
            <w:top w:val="none" w:sz="0" w:space="0" w:color="auto"/>
            <w:left w:val="none" w:sz="0" w:space="0" w:color="auto"/>
            <w:bottom w:val="none" w:sz="0" w:space="0" w:color="auto"/>
            <w:right w:val="none" w:sz="0" w:space="0" w:color="auto"/>
          </w:divBdr>
        </w:div>
        <w:div w:id="1654024284">
          <w:marLeft w:val="0"/>
          <w:marRight w:val="0"/>
          <w:marTop w:val="0"/>
          <w:marBottom w:val="0"/>
          <w:divBdr>
            <w:top w:val="none" w:sz="0" w:space="0" w:color="auto"/>
            <w:left w:val="none" w:sz="0" w:space="0" w:color="auto"/>
            <w:bottom w:val="none" w:sz="0" w:space="0" w:color="auto"/>
            <w:right w:val="none" w:sz="0" w:space="0" w:color="auto"/>
          </w:divBdr>
        </w:div>
        <w:div w:id="1116560719">
          <w:marLeft w:val="0"/>
          <w:marRight w:val="0"/>
          <w:marTop w:val="0"/>
          <w:marBottom w:val="0"/>
          <w:divBdr>
            <w:top w:val="none" w:sz="0" w:space="0" w:color="auto"/>
            <w:left w:val="none" w:sz="0" w:space="0" w:color="auto"/>
            <w:bottom w:val="none" w:sz="0" w:space="0" w:color="auto"/>
            <w:right w:val="none" w:sz="0" w:space="0" w:color="auto"/>
          </w:divBdr>
        </w:div>
        <w:div w:id="1086076477">
          <w:marLeft w:val="0"/>
          <w:marRight w:val="0"/>
          <w:marTop w:val="0"/>
          <w:marBottom w:val="0"/>
          <w:divBdr>
            <w:top w:val="none" w:sz="0" w:space="0" w:color="auto"/>
            <w:left w:val="none" w:sz="0" w:space="0" w:color="auto"/>
            <w:bottom w:val="none" w:sz="0" w:space="0" w:color="auto"/>
            <w:right w:val="none" w:sz="0" w:space="0" w:color="auto"/>
          </w:divBdr>
        </w:div>
        <w:div w:id="1340735533">
          <w:marLeft w:val="0"/>
          <w:marRight w:val="0"/>
          <w:marTop w:val="0"/>
          <w:marBottom w:val="0"/>
          <w:divBdr>
            <w:top w:val="none" w:sz="0" w:space="0" w:color="auto"/>
            <w:left w:val="none" w:sz="0" w:space="0" w:color="auto"/>
            <w:bottom w:val="none" w:sz="0" w:space="0" w:color="auto"/>
            <w:right w:val="none" w:sz="0" w:space="0" w:color="auto"/>
          </w:divBdr>
        </w:div>
        <w:div w:id="1201237386">
          <w:marLeft w:val="0"/>
          <w:marRight w:val="0"/>
          <w:marTop w:val="0"/>
          <w:marBottom w:val="0"/>
          <w:divBdr>
            <w:top w:val="none" w:sz="0" w:space="0" w:color="auto"/>
            <w:left w:val="none" w:sz="0" w:space="0" w:color="auto"/>
            <w:bottom w:val="none" w:sz="0" w:space="0" w:color="auto"/>
            <w:right w:val="none" w:sz="0" w:space="0" w:color="auto"/>
          </w:divBdr>
        </w:div>
        <w:div w:id="2086685373">
          <w:marLeft w:val="0"/>
          <w:marRight w:val="0"/>
          <w:marTop w:val="0"/>
          <w:marBottom w:val="0"/>
          <w:divBdr>
            <w:top w:val="none" w:sz="0" w:space="0" w:color="auto"/>
            <w:left w:val="none" w:sz="0" w:space="0" w:color="auto"/>
            <w:bottom w:val="none" w:sz="0" w:space="0" w:color="auto"/>
            <w:right w:val="none" w:sz="0" w:space="0" w:color="auto"/>
          </w:divBdr>
        </w:div>
        <w:div w:id="1674380255">
          <w:marLeft w:val="0"/>
          <w:marRight w:val="0"/>
          <w:marTop w:val="0"/>
          <w:marBottom w:val="0"/>
          <w:divBdr>
            <w:top w:val="none" w:sz="0" w:space="0" w:color="auto"/>
            <w:left w:val="none" w:sz="0" w:space="0" w:color="auto"/>
            <w:bottom w:val="none" w:sz="0" w:space="0" w:color="auto"/>
            <w:right w:val="none" w:sz="0" w:space="0" w:color="auto"/>
          </w:divBdr>
        </w:div>
        <w:div w:id="1362512131">
          <w:marLeft w:val="0"/>
          <w:marRight w:val="0"/>
          <w:marTop w:val="0"/>
          <w:marBottom w:val="0"/>
          <w:divBdr>
            <w:top w:val="none" w:sz="0" w:space="0" w:color="auto"/>
            <w:left w:val="none" w:sz="0" w:space="0" w:color="auto"/>
            <w:bottom w:val="none" w:sz="0" w:space="0" w:color="auto"/>
            <w:right w:val="none" w:sz="0" w:space="0" w:color="auto"/>
          </w:divBdr>
          <w:divsChild>
            <w:div w:id="2145192682">
              <w:marLeft w:val="0"/>
              <w:marRight w:val="0"/>
              <w:marTop w:val="0"/>
              <w:marBottom w:val="0"/>
              <w:divBdr>
                <w:top w:val="none" w:sz="0" w:space="0" w:color="auto"/>
                <w:left w:val="none" w:sz="0" w:space="0" w:color="auto"/>
                <w:bottom w:val="none" w:sz="0" w:space="0" w:color="auto"/>
                <w:right w:val="none" w:sz="0" w:space="0" w:color="auto"/>
              </w:divBdr>
            </w:div>
          </w:divsChild>
        </w:div>
        <w:div w:id="1218667489">
          <w:marLeft w:val="0"/>
          <w:marRight w:val="0"/>
          <w:marTop w:val="0"/>
          <w:marBottom w:val="0"/>
          <w:divBdr>
            <w:top w:val="none" w:sz="0" w:space="0" w:color="auto"/>
            <w:left w:val="none" w:sz="0" w:space="0" w:color="auto"/>
            <w:bottom w:val="none" w:sz="0" w:space="0" w:color="auto"/>
            <w:right w:val="none" w:sz="0" w:space="0" w:color="auto"/>
          </w:divBdr>
          <w:divsChild>
            <w:div w:id="562108750">
              <w:marLeft w:val="0"/>
              <w:marRight w:val="0"/>
              <w:marTop w:val="0"/>
              <w:marBottom w:val="0"/>
              <w:divBdr>
                <w:top w:val="none" w:sz="0" w:space="0" w:color="auto"/>
                <w:left w:val="none" w:sz="0" w:space="0" w:color="auto"/>
                <w:bottom w:val="none" w:sz="0" w:space="0" w:color="auto"/>
                <w:right w:val="none" w:sz="0" w:space="0" w:color="auto"/>
              </w:divBdr>
            </w:div>
          </w:divsChild>
        </w:div>
        <w:div w:id="979308033">
          <w:marLeft w:val="0"/>
          <w:marRight w:val="0"/>
          <w:marTop w:val="0"/>
          <w:marBottom w:val="0"/>
          <w:divBdr>
            <w:top w:val="none" w:sz="0" w:space="0" w:color="auto"/>
            <w:left w:val="none" w:sz="0" w:space="0" w:color="auto"/>
            <w:bottom w:val="none" w:sz="0" w:space="0" w:color="auto"/>
            <w:right w:val="none" w:sz="0" w:space="0" w:color="auto"/>
          </w:divBdr>
          <w:divsChild>
            <w:div w:id="1458180903">
              <w:marLeft w:val="0"/>
              <w:marRight w:val="0"/>
              <w:marTop w:val="0"/>
              <w:marBottom w:val="0"/>
              <w:divBdr>
                <w:top w:val="none" w:sz="0" w:space="0" w:color="auto"/>
                <w:left w:val="none" w:sz="0" w:space="0" w:color="auto"/>
                <w:bottom w:val="none" w:sz="0" w:space="0" w:color="auto"/>
                <w:right w:val="none" w:sz="0" w:space="0" w:color="auto"/>
              </w:divBdr>
            </w:div>
          </w:divsChild>
        </w:div>
        <w:div w:id="921841456">
          <w:marLeft w:val="0"/>
          <w:marRight w:val="0"/>
          <w:marTop w:val="0"/>
          <w:marBottom w:val="0"/>
          <w:divBdr>
            <w:top w:val="none" w:sz="0" w:space="0" w:color="auto"/>
            <w:left w:val="none" w:sz="0" w:space="0" w:color="auto"/>
            <w:bottom w:val="none" w:sz="0" w:space="0" w:color="auto"/>
            <w:right w:val="none" w:sz="0" w:space="0" w:color="auto"/>
          </w:divBdr>
          <w:divsChild>
            <w:div w:id="115325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830598">
      <w:bodyDiv w:val="1"/>
      <w:marLeft w:val="0"/>
      <w:marRight w:val="0"/>
      <w:marTop w:val="0"/>
      <w:marBottom w:val="0"/>
      <w:divBdr>
        <w:top w:val="none" w:sz="0" w:space="0" w:color="auto"/>
        <w:left w:val="none" w:sz="0" w:space="0" w:color="auto"/>
        <w:bottom w:val="none" w:sz="0" w:space="0" w:color="auto"/>
        <w:right w:val="none" w:sz="0" w:space="0" w:color="auto"/>
      </w:divBdr>
    </w:div>
    <w:div w:id="1425564977">
      <w:bodyDiv w:val="1"/>
      <w:marLeft w:val="0"/>
      <w:marRight w:val="0"/>
      <w:marTop w:val="0"/>
      <w:marBottom w:val="0"/>
      <w:divBdr>
        <w:top w:val="none" w:sz="0" w:space="0" w:color="auto"/>
        <w:left w:val="none" w:sz="0" w:space="0" w:color="auto"/>
        <w:bottom w:val="none" w:sz="0" w:space="0" w:color="auto"/>
        <w:right w:val="none" w:sz="0" w:space="0" w:color="auto"/>
      </w:divBdr>
      <w:divsChild>
        <w:div w:id="1139541702">
          <w:marLeft w:val="0"/>
          <w:marRight w:val="0"/>
          <w:marTop w:val="0"/>
          <w:marBottom w:val="0"/>
          <w:divBdr>
            <w:top w:val="none" w:sz="0" w:space="0" w:color="auto"/>
            <w:left w:val="none" w:sz="0" w:space="0" w:color="auto"/>
            <w:bottom w:val="none" w:sz="0" w:space="0" w:color="auto"/>
            <w:right w:val="none" w:sz="0" w:space="0" w:color="auto"/>
          </w:divBdr>
        </w:div>
        <w:div w:id="1419716324">
          <w:marLeft w:val="0"/>
          <w:marRight w:val="0"/>
          <w:marTop w:val="0"/>
          <w:marBottom w:val="0"/>
          <w:divBdr>
            <w:top w:val="none" w:sz="0" w:space="0" w:color="auto"/>
            <w:left w:val="none" w:sz="0" w:space="0" w:color="auto"/>
            <w:bottom w:val="none" w:sz="0" w:space="0" w:color="auto"/>
            <w:right w:val="none" w:sz="0" w:space="0" w:color="auto"/>
          </w:divBdr>
        </w:div>
      </w:divsChild>
    </w:div>
    <w:div w:id="1454178734">
      <w:bodyDiv w:val="1"/>
      <w:marLeft w:val="0"/>
      <w:marRight w:val="0"/>
      <w:marTop w:val="0"/>
      <w:marBottom w:val="0"/>
      <w:divBdr>
        <w:top w:val="none" w:sz="0" w:space="0" w:color="auto"/>
        <w:left w:val="none" w:sz="0" w:space="0" w:color="auto"/>
        <w:bottom w:val="none" w:sz="0" w:space="0" w:color="auto"/>
        <w:right w:val="none" w:sz="0" w:space="0" w:color="auto"/>
      </w:divBdr>
      <w:divsChild>
        <w:div w:id="1876845126">
          <w:marLeft w:val="0"/>
          <w:marRight w:val="0"/>
          <w:marTop w:val="0"/>
          <w:marBottom w:val="0"/>
          <w:divBdr>
            <w:top w:val="none" w:sz="0" w:space="0" w:color="auto"/>
            <w:left w:val="none" w:sz="0" w:space="0" w:color="auto"/>
            <w:bottom w:val="none" w:sz="0" w:space="0" w:color="auto"/>
            <w:right w:val="none" w:sz="0" w:space="0" w:color="auto"/>
          </w:divBdr>
        </w:div>
        <w:div w:id="768476365">
          <w:marLeft w:val="0"/>
          <w:marRight w:val="0"/>
          <w:marTop w:val="0"/>
          <w:marBottom w:val="0"/>
          <w:divBdr>
            <w:top w:val="none" w:sz="0" w:space="0" w:color="auto"/>
            <w:left w:val="none" w:sz="0" w:space="0" w:color="auto"/>
            <w:bottom w:val="none" w:sz="0" w:space="0" w:color="auto"/>
            <w:right w:val="none" w:sz="0" w:space="0" w:color="auto"/>
          </w:divBdr>
        </w:div>
      </w:divsChild>
    </w:div>
    <w:div w:id="1496456280">
      <w:bodyDiv w:val="1"/>
      <w:marLeft w:val="0"/>
      <w:marRight w:val="0"/>
      <w:marTop w:val="0"/>
      <w:marBottom w:val="0"/>
      <w:divBdr>
        <w:top w:val="none" w:sz="0" w:space="0" w:color="auto"/>
        <w:left w:val="none" w:sz="0" w:space="0" w:color="auto"/>
        <w:bottom w:val="none" w:sz="0" w:space="0" w:color="auto"/>
        <w:right w:val="none" w:sz="0" w:space="0" w:color="auto"/>
      </w:divBdr>
      <w:divsChild>
        <w:div w:id="1471703230">
          <w:marLeft w:val="0"/>
          <w:marRight w:val="0"/>
          <w:marTop w:val="0"/>
          <w:marBottom w:val="0"/>
          <w:divBdr>
            <w:top w:val="none" w:sz="0" w:space="0" w:color="auto"/>
            <w:left w:val="none" w:sz="0" w:space="0" w:color="auto"/>
            <w:bottom w:val="none" w:sz="0" w:space="0" w:color="auto"/>
            <w:right w:val="none" w:sz="0" w:space="0" w:color="auto"/>
          </w:divBdr>
          <w:divsChild>
            <w:div w:id="1928953357">
              <w:marLeft w:val="0"/>
              <w:marRight w:val="0"/>
              <w:marTop w:val="0"/>
              <w:marBottom w:val="0"/>
              <w:divBdr>
                <w:top w:val="none" w:sz="0" w:space="0" w:color="auto"/>
                <w:left w:val="none" w:sz="0" w:space="0" w:color="auto"/>
                <w:bottom w:val="none" w:sz="0" w:space="0" w:color="auto"/>
                <w:right w:val="none" w:sz="0" w:space="0" w:color="auto"/>
              </w:divBdr>
              <w:divsChild>
                <w:div w:id="168712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653237">
      <w:bodyDiv w:val="1"/>
      <w:marLeft w:val="0"/>
      <w:marRight w:val="0"/>
      <w:marTop w:val="0"/>
      <w:marBottom w:val="0"/>
      <w:divBdr>
        <w:top w:val="none" w:sz="0" w:space="0" w:color="auto"/>
        <w:left w:val="none" w:sz="0" w:space="0" w:color="auto"/>
        <w:bottom w:val="none" w:sz="0" w:space="0" w:color="auto"/>
        <w:right w:val="none" w:sz="0" w:space="0" w:color="auto"/>
      </w:divBdr>
      <w:divsChild>
        <w:div w:id="178550885">
          <w:marLeft w:val="0"/>
          <w:marRight w:val="0"/>
          <w:marTop w:val="0"/>
          <w:marBottom w:val="0"/>
          <w:divBdr>
            <w:top w:val="none" w:sz="0" w:space="0" w:color="auto"/>
            <w:left w:val="none" w:sz="0" w:space="0" w:color="auto"/>
            <w:bottom w:val="none" w:sz="0" w:space="0" w:color="auto"/>
            <w:right w:val="none" w:sz="0" w:space="0" w:color="auto"/>
          </w:divBdr>
          <w:divsChild>
            <w:div w:id="429590011">
              <w:marLeft w:val="0"/>
              <w:marRight w:val="0"/>
              <w:marTop w:val="0"/>
              <w:marBottom w:val="0"/>
              <w:divBdr>
                <w:top w:val="none" w:sz="0" w:space="0" w:color="auto"/>
                <w:left w:val="none" w:sz="0" w:space="0" w:color="auto"/>
                <w:bottom w:val="none" w:sz="0" w:space="0" w:color="auto"/>
                <w:right w:val="none" w:sz="0" w:space="0" w:color="auto"/>
              </w:divBdr>
              <w:divsChild>
                <w:div w:id="161405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001885">
      <w:bodyDiv w:val="1"/>
      <w:marLeft w:val="0"/>
      <w:marRight w:val="0"/>
      <w:marTop w:val="0"/>
      <w:marBottom w:val="0"/>
      <w:divBdr>
        <w:top w:val="none" w:sz="0" w:space="0" w:color="auto"/>
        <w:left w:val="none" w:sz="0" w:space="0" w:color="auto"/>
        <w:bottom w:val="none" w:sz="0" w:space="0" w:color="auto"/>
        <w:right w:val="none" w:sz="0" w:space="0" w:color="auto"/>
      </w:divBdr>
      <w:divsChild>
        <w:div w:id="649407577">
          <w:marLeft w:val="0"/>
          <w:marRight w:val="0"/>
          <w:marTop w:val="0"/>
          <w:marBottom w:val="0"/>
          <w:divBdr>
            <w:top w:val="none" w:sz="0" w:space="0" w:color="auto"/>
            <w:left w:val="none" w:sz="0" w:space="0" w:color="auto"/>
            <w:bottom w:val="none" w:sz="0" w:space="0" w:color="auto"/>
            <w:right w:val="none" w:sz="0" w:space="0" w:color="auto"/>
          </w:divBdr>
        </w:div>
        <w:div w:id="1821534885">
          <w:marLeft w:val="0"/>
          <w:marRight w:val="0"/>
          <w:marTop w:val="0"/>
          <w:marBottom w:val="0"/>
          <w:divBdr>
            <w:top w:val="none" w:sz="0" w:space="0" w:color="auto"/>
            <w:left w:val="none" w:sz="0" w:space="0" w:color="auto"/>
            <w:bottom w:val="none" w:sz="0" w:space="0" w:color="auto"/>
            <w:right w:val="none" w:sz="0" w:space="0" w:color="auto"/>
          </w:divBdr>
        </w:div>
      </w:divsChild>
    </w:div>
    <w:div w:id="1531844645">
      <w:bodyDiv w:val="1"/>
      <w:marLeft w:val="0"/>
      <w:marRight w:val="0"/>
      <w:marTop w:val="0"/>
      <w:marBottom w:val="0"/>
      <w:divBdr>
        <w:top w:val="none" w:sz="0" w:space="0" w:color="auto"/>
        <w:left w:val="none" w:sz="0" w:space="0" w:color="auto"/>
        <w:bottom w:val="none" w:sz="0" w:space="0" w:color="auto"/>
        <w:right w:val="none" w:sz="0" w:space="0" w:color="auto"/>
      </w:divBdr>
      <w:divsChild>
        <w:div w:id="1195656974">
          <w:marLeft w:val="547"/>
          <w:marRight w:val="0"/>
          <w:marTop w:val="0"/>
          <w:marBottom w:val="0"/>
          <w:divBdr>
            <w:top w:val="none" w:sz="0" w:space="0" w:color="auto"/>
            <w:left w:val="none" w:sz="0" w:space="0" w:color="auto"/>
            <w:bottom w:val="none" w:sz="0" w:space="0" w:color="auto"/>
            <w:right w:val="none" w:sz="0" w:space="0" w:color="auto"/>
          </w:divBdr>
        </w:div>
        <w:div w:id="1397215">
          <w:marLeft w:val="1166"/>
          <w:marRight w:val="0"/>
          <w:marTop w:val="0"/>
          <w:marBottom w:val="0"/>
          <w:divBdr>
            <w:top w:val="none" w:sz="0" w:space="0" w:color="auto"/>
            <w:left w:val="none" w:sz="0" w:space="0" w:color="auto"/>
            <w:bottom w:val="none" w:sz="0" w:space="0" w:color="auto"/>
            <w:right w:val="none" w:sz="0" w:space="0" w:color="auto"/>
          </w:divBdr>
        </w:div>
        <w:div w:id="217059240">
          <w:marLeft w:val="1166"/>
          <w:marRight w:val="0"/>
          <w:marTop w:val="0"/>
          <w:marBottom w:val="0"/>
          <w:divBdr>
            <w:top w:val="none" w:sz="0" w:space="0" w:color="auto"/>
            <w:left w:val="none" w:sz="0" w:space="0" w:color="auto"/>
            <w:bottom w:val="none" w:sz="0" w:space="0" w:color="auto"/>
            <w:right w:val="none" w:sz="0" w:space="0" w:color="auto"/>
          </w:divBdr>
        </w:div>
        <w:div w:id="2081559338">
          <w:marLeft w:val="1166"/>
          <w:marRight w:val="0"/>
          <w:marTop w:val="0"/>
          <w:marBottom w:val="0"/>
          <w:divBdr>
            <w:top w:val="none" w:sz="0" w:space="0" w:color="auto"/>
            <w:left w:val="none" w:sz="0" w:space="0" w:color="auto"/>
            <w:bottom w:val="none" w:sz="0" w:space="0" w:color="auto"/>
            <w:right w:val="none" w:sz="0" w:space="0" w:color="auto"/>
          </w:divBdr>
        </w:div>
        <w:div w:id="418020591">
          <w:marLeft w:val="547"/>
          <w:marRight w:val="0"/>
          <w:marTop w:val="0"/>
          <w:marBottom w:val="0"/>
          <w:divBdr>
            <w:top w:val="none" w:sz="0" w:space="0" w:color="auto"/>
            <w:left w:val="none" w:sz="0" w:space="0" w:color="auto"/>
            <w:bottom w:val="none" w:sz="0" w:space="0" w:color="auto"/>
            <w:right w:val="none" w:sz="0" w:space="0" w:color="auto"/>
          </w:divBdr>
        </w:div>
        <w:div w:id="475995418">
          <w:marLeft w:val="1166"/>
          <w:marRight w:val="0"/>
          <w:marTop w:val="0"/>
          <w:marBottom w:val="0"/>
          <w:divBdr>
            <w:top w:val="none" w:sz="0" w:space="0" w:color="auto"/>
            <w:left w:val="none" w:sz="0" w:space="0" w:color="auto"/>
            <w:bottom w:val="none" w:sz="0" w:space="0" w:color="auto"/>
            <w:right w:val="none" w:sz="0" w:space="0" w:color="auto"/>
          </w:divBdr>
        </w:div>
        <w:div w:id="458569957">
          <w:marLeft w:val="1166"/>
          <w:marRight w:val="0"/>
          <w:marTop w:val="0"/>
          <w:marBottom w:val="0"/>
          <w:divBdr>
            <w:top w:val="none" w:sz="0" w:space="0" w:color="auto"/>
            <w:left w:val="none" w:sz="0" w:space="0" w:color="auto"/>
            <w:bottom w:val="none" w:sz="0" w:space="0" w:color="auto"/>
            <w:right w:val="none" w:sz="0" w:space="0" w:color="auto"/>
          </w:divBdr>
        </w:div>
        <w:div w:id="1367945389">
          <w:marLeft w:val="1166"/>
          <w:marRight w:val="0"/>
          <w:marTop w:val="0"/>
          <w:marBottom w:val="0"/>
          <w:divBdr>
            <w:top w:val="none" w:sz="0" w:space="0" w:color="auto"/>
            <w:left w:val="none" w:sz="0" w:space="0" w:color="auto"/>
            <w:bottom w:val="none" w:sz="0" w:space="0" w:color="auto"/>
            <w:right w:val="none" w:sz="0" w:space="0" w:color="auto"/>
          </w:divBdr>
        </w:div>
        <w:div w:id="766122237">
          <w:marLeft w:val="547"/>
          <w:marRight w:val="0"/>
          <w:marTop w:val="0"/>
          <w:marBottom w:val="0"/>
          <w:divBdr>
            <w:top w:val="none" w:sz="0" w:space="0" w:color="auto"/>
            <w:left w:val="none" w:sz="0" w:space="0" w:color="auto"/>
            <w:bottom w:val="none" w:sz="0" w:space="0" w:color="auto"/>
            <w:right w:val="none" w:sz="0" w:space="0" w:color="auto"/>
          </w:divBdr>
        </w:div>
        <w:div w:id="2005938053">
          <w:marLeft w:val="1166"/>
          <w:marRight w:val="0"/>
          <w:marTop w:val="0"/>
          <w:marBottom w:val="0"/>
          <w:divBdr>
            <w:top w:val="none" w:sz="0" w:space="0" w:color="auto"/>
            <w:left w:val="none" w:sz="0" w:space="0" w:color="auto"/>
            <w:bottom w:val="none" w:sz="0" w:space="0" w:color="auto"/>
            <w:right w:val="none" w:sz="0" w:space="0" w:color="auto"/>
          </w:divBdr>
        </w:div>
        <w:div w:id="1569264819">
          <w:marLeft w:val="1166"/>
          <w:marRight w:val="0"/>
          <w:marTop w:val="0"/>
          <w:marBottom w:val="0"/>
          <w:divBdr>
            <w:top w:val="none" w:sz="0" w:space="0" w:color="auto"/>
            <w:left w:val="none" w:sz="0" w:space="0" w:color="auto"/>
            <w:bottom w:val="none" w:sz="0" w:space="0" w:color="auto"/>
            <w:right w:val="none" w:sz="0" w:space="0" w:color="auto"/>
          </w:divBdr>
        </w:div>
        <w:div w:id="1002586245">
          <w:marLeft w:val="1166"/>
          <w:marRight w:val="0"/>
          <w:marTop w:val="0"/>
          <w:marBottom w:val="0"/>
          <w:divBdr>
            <w:top w:val="none" w:sz="0" w:space="0" w:color="auto"/>
            <w:left w:val="none" w:sz="0" w:space="0" w:color="auto"/>
            <w:bottom w:val="none" w:sz="0" w:space="0" w:color="auto"/>
            <w:right w:val="none" w:sz="0" w:space="0" w:color="auto"/>
          </w:divBdr>
        </w:div>
      </w:divsChild>
    </w:div>
    <w:div w:id="1569657022">
      <w:bodyDiv w:val="1"/>
      <w:marLeft w:val="0"/>
      <w:marRight w:val="0"/>
      <w:marTop w:val="0"/>
      <w:marBottom w:val="0"/>
      <w:divBdr>
        <w:top w:val="none" w:sz="0" w:space="0" w:color="auto"/>
        <w:left w:val="none" w:sz="0" w:space="0" w:color="auto"/>
        <w:bottom w:val="none" w:sz="0" w:space="0" w:color="auto"/>
        <w:right w:val="none" w:sz="0" w:space="0" w:color="auto"/>
      </w:divBdr>
      <w:divsChild>
        <w:div w:id="1909344557">
          <w:marLeft w:val="0"/>
          <w:marRight w:val="0"/>
          <w:marTop w:val="0"/>
          <w:marBottom w:val="0"/>
          <w:divBdr>
            <w:top w:val="none" w:sz="0" w:space="0" w:color="auto"/>
            <w:left w:val="none" w:sz="0" w:space="0" w:color="auto"/>
            <w:bottom w:val="none" w:sz="0" w:space="0" w:color="auto"/>
            <w:right w:val="none" w:sz="0" w:space="0" w:color="auto"/>
          </w:divBdr>
          <w:divsChild>
            <w:div w:id="1161846136">
              <w:marLeft w:val="0"/>
              <w:marRight w:val="0"/>
              <w:marTop w:val="0"/>
              <w:marBottom w:val="0"/>
              <w:divBdr>
                <w:top w:val="none" w:sz="0" w:space="0" w:color="auto"/>
                <w:left w:val="none" w:sz="0" w:space="0" w:color="auto"/>
                <w:bottom w:val="none" w:sz="0" w:space="0" w:color="auto"/>
                <w:right w:val="none" w:sz="0" w:space="0" w:color="auto"/>
              </w:divBdr>
              <w:divsChild>
                <w:div w:id="114886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616536">
      <w:bodyDiv w:val="1"/>
      <w:marLeft w:val="0"/>
      <w:marRight w:val="0"/>
      <w:marTop w:val="0"/>
      <w:marBottom w:val="0"/>
      <w:divBdr>
        <w:top w:val="none" w:sz="0" w:space="0" w:color="auto"/>
        <w:left w:val="none" w:sz="0" w:space="0" w:color="auto"/>
        <w:bottom w:val="none" w:sz="0" w:space="0" w:color="auto"/>
        <w:right w:val="none" w:sz="0" w:space="0" w:color="auto"/>
      </w:divBdr>
    </w:div>
    <w:div w:id="1589079533">
      <w:bodyDiv w:val="1"/>
      <w:marLeft w:val="0"/>
      <w:marRight w:val="0"/>
      <w:marTop w:val="0"/>
      <w:marBottom w:val="0"/>
      <w:divBdr>
        <w:top w:val="none" w:sz="0" w:space="0" w:color="auto"/>
        <w:left w:val="none" w:sz="0" w:space="0" w:color="auto"/>
        <w:bottom w:val="none" w:sz="0" w:space="0" w:color="auto"/>
        <w:right w:val="none" w:sz="0" w:space="0" w:color="auto"/>
      </w:divBdr>
      <w:divsChild>
        <w:div w:id="1282037386">
          <w:marLeft w:val="0"/>
          <w:marRight w:val="0"/>
          <w:marTop w:val="0"/>
          <w:marBottom w:val="0"/>
          <w:divBdr>
            <w:top w:val="none" w:sz="0" w:space="0" w:color="auto"/>
            <w:left w:val="none" w:sz="0" w:space="0" w:color="auto"/>
            <w:bottom w:val="none" w:sz="0" w:space="0" w:color="auto"/>
            <w:right w:val="none" w:sz="0" w:space="0" w:color="auto"/>
          </w:divBdr>
        </w:div>
        <w:div w:id="1906382">
          <w:marLeft w:val="0"/>
          <w:marRight w:val="0"/>
          <w:marTop w:val="0"/>
          <w:marBottom w:val="0"/>
          <w:divBdr>
            <w:top w:val="none" w:sz="0" w:space="0" w:color="auto"/>
            <w:left w:val="none" w:sz="0" w:space="0" w:color="auto"/>
            <w:bottom w:val="none" w:sz="0" w:space="0" w:color="auto"/>
            <w:right w:val="none" w:sz="0" w:space="0" w:color="auto"/>
          </w:divBdr>
        </w:div>
      </w:divsChild>
    </w:div>
    <w:div w:id="1634368279">
      <w:bodyDiv w:val="1"/>
      <w:marLeft w:val="0"/>
      <w:marRight w:val="0"/>
      <w:marTop w:val="0"/>
      <w:marBottom w:val="0"/>
      <w:divBdr>
        <w:top w:val="none" w:sz="0" w:space="0" w:color="auto"/>
        <w:left w:val="none" w:sz="0" w:space="0" w:color="auto"/>
        <w:bottom w:val="none" w:sz="0" w:space="0" w:color="auto"/>
        <w:right w:val="none" w:sz="0" w:space="0" w:color="auto"/>
      </w:divBdr>
    </w:div>
    <w:div w:id="1647275014">
      <w:bodyDiv w:val="1"/>
      <w:marLeft w:val="0"/>
      <w:marRight w:val="0"/>
      <w:marTop w:val="0"/>
      <w:marBottom w:val="0"/>
      <w:divBdr>
        <w:top w:val="none" w:sz="0" w:space="0" w:color="auto"/>
        <w:left w:val="none" w:sz="0" w:space="0" w:color="auto"/>
        <w:bottom w:val="none" w:sz="0" w:space="0" w:color="auto"/>
        <w:right w:val="none" w:sz="0" w:space="0" w:color="auto"/>
      </w:divBdr>
    </w:div>
    <w:div w:id="1685861413">
      <w:bodyDiv w:val="1"/>
      <w:marLeft w:val="0"/>
      <w:marRight w:val="0"/>
      <w:marTop w:val="0"/>
      <w:marBottom w:val="0"/>
      <w:divBdr>
        <w:top w:val="none" w:sz="0" w:space="0" w:color="auto"/>
        <w:left w:val="none" w:sz="0" w:space="0" w:color="auto"/>
        <w:bottom w:val="none" w:sz="0" w:space="0" w:color="auto"/>
        <w:right w:val="none" w:sz="0" w:space="0" w:color="auto"/>
      </w:divBdr>
      <w:divsChild>
        <w:div w:id="227573595">
          <w:marLeft w:val="0"/>
          <w:marRight w:val="0"/>
          <w:marTop w:val="0"/>
          <w:marBottom w:val="0"/>
          <w:divBdr>
            <w:top w:val="none" w:sz="0" w:space="0" w:color="auto"/>
            <w:left w:val="none" w:sz="0" w:space="0" w:color="auto"/>
            <w:bottom w:val="none" w:sz="0" w:space="0" w:color="auto"/>
            <w:right w:val="none" w:sz="0" w:space="0" w:color="auto"/>
          </w:divBdr>
          <w:divsChild>
            <w:div w:id="1128357308">
              <w:marLeft w:val="0"/>
              <w:marRight w:val="0"/>
              <w:marTop w:val="0"/>
              <w:marBottom w:val="0"/>
              <w:divBdr>
                <w:top w:val="none" w:sz="0" w:space="0" w:color="auto"/>
                <w:left w:val="none" w:sz="0" w:space="0" w:color="auto"/>
                <w:bottom w:val="none" w:sz="0" w:space="0" w:color="auto"/>
                <w:right w:val="none" w:sz="0" w:space="0" w:color="auto"/>
              </w:divBdr>
              <w:divsChild>
                <w:div w:id="905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505127">
      <w:bodyDiv w:val="1"/>
      <w:marLeft w:val="0"/>
      <w:marRight w:val="0"/>
      <w:marTop w:val="0"/>
      <w:marBottom w:val="0"/>
      <w:divBdr>
        <w:top w:val="none" w:sz="0" w:space="0" w:color="auto"/>
        <w:left w:val="none" w:sz="0" w:space="0" w:color="auto"/>
        <w:bottom w:val="none" w:sz="0" w:space="0" w:color="auto"/>
        <w:right w:val="none" w:sz="0" w:space="0" w:color="auto"/>
      </w:divBdr>
    </w:div>
    <w:div w:id="1726952314">
      <w:bodyDiv w:val="1"/>
      <w:marLeft w:val="0"/>
      <w:marRight w:val="0"/>
      <w:marTop w:val="0"/>
      <w:marBottom w:val="0"/>
      <w:divBdr>
        <w:top w:val="none" w:sz="0" w:space="0" w:color="auto"/>
        <w:left w:val="none" w:sz="0" w:space="0" w:color="auto"/>
        <w:bottom w:val="none" w:sz="0" w:space="0" w:color="auto"/>
        <w:right w:val="none" w:sz="0" w:space="0" w:color="auto"/>
      </w:divBdr>
      <w:divsChild>
        <w:div w:id="1737585788">
          <w:marLeft w:val="0"/>
          <w:marRight w:val="0"/>
          <w:marTop w:val="0"/>
          <w:marBottom w:val="0"/>
          <w:divBdr>
            <w:top w:val="none" w:sz="0" w:space="0" w:color="auto"/>
            <w:left w:val="none" w:sz="0" w:space="0" w:color="auto"/>
            <w:bottom w:val="none" w:sz="0" w:space="0" w:color="auto"/>
            <w:right w:val="none" w:sz="0" w:space="0" w:color="auto"/>
          </w:divBdr>
        </w:div>
        <w:div w:id="1984499810">
          <w:marLeft w:val="0"/>
          <w:marRight w:val="0"/>
          <w:marTop w:val="0"/>
          <w:marBottom w:val="0"/>
          <w:divBdr>
            <w:top w:val="none" w:sz="0" w:space="0" w:color="auto"/>
            <w:left w:val="none" w:sz="0" w:space="0" w:color="auto"/>
            <w:bottom w:val="none" w:sz="0" w:space="0" w:color="auto"/>
            <w:right w:val="none" w:sz="0" w:space="0" w:color="auto"/>
          </w:divBdr>
        </w:div>
        <w:div w:id="97062265">
          <w:marLeft w:val="0"/>
          <w:marRight w:val="0"/>
          <w:marTop w:val="0"/>
          <w:marBottom w:val="0"/>
          <w:divBdr>
            <w:top w:val="none" w:sz="0" w:space="0" w:color="auto"/>
            <w:left w:val="none" w:sz="0" w:space="0" w:color="auto"/>
            <w:bottom w:val="none" w:sz="0" w:space="0" w:color="auto"/>
            <w:right w:val="none" w:sz="0" w:space="0" w:color="auto"/>
          </w:divBdr>
        </w:div>
      </w:divsChild>
    </w:div>
    <w:div w:id="1737782805">
      <w:bodyDiv w:val="1"/>
      <w:marLeft w:val="0"/>
      <w:marRight w:val="0"/>
      <w:marTop w:val="0"/>
      <w:marBottom w:val="0"/>
      <w:divBdr>
        <w:top w:val="none" w:sz="0" w:space="0" w:color="auto"/>
        <w:left w:val="none" w:sz="0" w:space="0" w:color="auto"/>
        <w:bottom w:val="none" w:sz="0" w:space="0" w:color="auto"/>
        <w:right w:val="none" w:sz="0" w:space="0" w:color="auto"/>
      </w:divBdr>
    </w:div>
    <w:div w:id="1748570520">
      <w:bodyDiv w:val="1"/>
      <w:marLeft w:val="0"/>
      <w:marRight w:val="0"/>
      <w:marTop w:val="0"/>
      <w:marBottom w:val="0"/>
      <w:divBdr>
        <w:top w:val="none" w:sz="0" w:space="0" w:color="auto"/>
        <w:left w:val="none" w:sz="0" w:space="0" w:color="auto"/>
        <w:bottom w:val="none" w:sz="0" w:space="0" w:color="auto"/>
        <w:right w:val="none" w:sz="0" w:space="0" w:color="auto"/>
      </w:divBdr>
    </w:div>
    <w:div w:id="1791511955">
      <w:bodyDiv w:val="1"/>
      <w:marLeft w:val="0"/>
      <w:marRight w:val="0"/>
      <w:marTop w:val="0"/>
      <w:marBottom w:val="0"/>
      <w:divBdr>
        <w:top w:val="none" w:sz="0" w:space="0" w:color="auto"/>
        <w:left w:val="none" w:sz="0" w:space="0" w:color="auto"/>
        <w:bottom w:val="none" w:sz="0" w:space="0" w:color="auto"/>
        <w:right w:val="none" w:sz="0" w:space="0" w:color="auto"/>
      </w:divBdr>
    </w:div>
    <w:div w:id="1821728563">
      <w:bodyDiv w:val="1"/>
      <w:marLeft w:val="0"/>
      <w:marRight w:val="0"/>
      <w:marTop w:val="0"/>
      <w:marBottom w:val="0"/>
      <w:divBdr>
        <w:top w:val="none" w:sz="0" w:space="0" w:color="auto"/>
        <w:left w:val="none" w:sz="0" w:space="0" w:color="auto"/>
        <w:bottom w:val="none" w:sz="0" w:space="0" w:color="auto"/>
        <w:right w:val="none" w:sz="0" w:space="0" w:color="auto"/>
      </w:divBdr>
    </w:div>
    <w:div w:id="1865361817">
      <w:bodyDiv w:val="1"/>
      <w:marLeft w:val="0"/>
      <w:marRight w:val="0"/>
      <w:marTop w:val="0"/>
      <w:marBottom w:val="0"/>
      <w:divBdr>
        <w:top w:val="none" w:sz="0" w:space="0" w:color="auto"/>
        <w:left w:val="none" w:sz="0" w:space="0" w:color="auto"/>
        <w:bottom w:val="none" w:sz="0" w:space="0" w:color="auto"/>
        <w:right w:val="none" w:sz="0" w:space="0" w:color="auto"/>
      </w:divBdr>
      <w:divsChild>
        <w:div w:id="334849024">
          <w:marLeft w:val="0"/>
          <w:marRight w:val="0"/>
          <w:marTop w:val="0"/>
          <w:marBottom w:val="0"/>
          <w:divBdr>
            <w:top w:val="none" w:sz="0" w:space="0" w:color="auto"/>
            <w:left w:val="none" w:sz="0" w:space="0" w:color="auto"/>
            <w:bottom w:val="none" w:sz="0" w:space="0" w:color="auto"/>
            <w:right w:val="none" w:sz="0" w:space="0" w:color="auto"/>
          </w:divBdr>
        </w:div>
      </w:divsChild>
    </w:div>
    <w:div w:id="1997413757">
      <w:bodyDiv w:val="1"/>
      <w:marLeft w:val="0"/>
      <w:marRight w:val="0"/>
      <w:marTop w:val="0"/>
      <w:marBottom w:val="0"/>
      <w:divBdr>
        <w:top w:val="none" w:sz="0" w:space="0" w:color="auto"/>
        <w:left w:val="none" w:sz="0" w:space="0" w:color="auto"/>
        <w:bottom w:val="none" w:sz="0" w:space="0" w:color="auto"/>
        <w:right w:val="none" w:sz="0" w:space="0" w:color="auto"/>
      </w:divBdr>
      <w:divsChild>
        <w:div w:id="1172523997">
          <w:marLeft w:val="0"/>
          <w:marRight w:val="0"/>
          <w:marTop w:val="0"/>
          <w:marBottom w:val="0"/>
          <w:divBdr>
            <w:top w:val="none" w:sz="0" w:space="0" w:color="auto"/>
            <w:left w:val="none" w:sz="0" w:space="0" w:color="auto"/>
            <w:bottom w:val="none" w:sz="0" w:space="0" w:color="auto"/>
            <w:right w:val="none" w:sz="0" w:space="0" w:color="auto"/>
          </w:divBdr>
        </w:div>
        <w:div w:id="2054379223">
          <w:marLeft w:val="0"/>
          <w:marRight w:val="0"/>
          <w:marTop w:val="0"/>
          <w:marBottom w:val="0"/>
          <w:divBdr>
            <w:top w:val="none" w:sz="0" w:space="0" w:color="auto"/>
            <w:left w:val="none" w:sz="0" w:space="0" w:color="auto"/>
            <w:bottom w:val="none" w:sz="0" w:space="0" w:color="auto"/>
            <w:right w:val="none" w:sz="0" w:space="0" w:color="auto"/>
          </w:divBdr>
        </w:div>
      </w:divsChild>
    </w:div>
    <w:div w:id="2020084128">
      <w:bodyDiv w:val="1"/>
      <w:marLeft w:val="0"/>
      <w:marRight w:val="0"/>
      <w:marTop w:val="0"/>
      <w:marBottom w:val="0"/>
      <w:divBdr>
        <w:top w:val="none" w:sz="0" w:space="0" w:color="auto"/>
        <w:left w:val="none" w:sz="0" w:space="0" w:color="auto"/>
        <w:bottom w:val="none" w:sz="0" w:space="0" w:color="auto"/>
        <w:right w:val="none" w:sz="0" w:space="0" w:color="auto"/>
      </w:divBdr>
    </w:div>
    <w:div w:id="2022588873">
      <w:bodyDiv w:val="1"/>
      <w:marLeft w:val="0"/>
      <w:marRight w:val="0"/>
      <w:marTop w:val="0"/>
      <w:marBottom w:val="0"/>
      <w:divBdr>
        <w:top w:val="none" w:sz="0" w:space="0" w:color="auto"/>
        <w:left w:val="none" w:sz="0" w:space="0" w:color="auto"/>
        <w:bottom w:val="none" w:sz="0" w:space="0" w:color="auto"/>
        <w:right w:val="none" w:sz="0" w:space="0" w:color="auto"/>
      </w:divBdr>
    </w:div>
    <w:div w:id="2049182435">
      <w:bodyDiv w:val="1"/>
      <w:marLeft w:val="0"/>
      <w:marRight w:val="0"/>
      <w:marTop w:val="0"/>
      <w:marBottom w:val="0"/>
      <w:divBdr>
        <w:top w:val="none" w:sz="0" w:space="0" w:color="auto"/>
        <w:left w:val="none" w:sz="0" w:space="0" w:color="auto"/>
        <w:bottom w:val="none" w:sz="0" w:space="0" w:color="auto"/>
        <w:right w:val="none" w:sz="0" w:space="0" w:color="auto"/>
      </w:divBdr>
      <w:divsChild>
        <w:div w:id="1392078558">
          <w:marLeft w:val="0"/>
          <w:marRight w:val="0"/>
          <w:marTop w:val="0"/>
          <w:marBottom w:val="0"/>
          <w:divBdr>
            <w:top w:val="none" w:sz="0" w:space="0" w:color="auto"/>
            <w:left w:val="none" w:sz="0" w:space="0" w:color="auto"/>
            <w:bottom w:val="none" w:sz="0" w:space="0" w:color="auto"/>
            <w:right w:val="none" w:sz="0" w:space="0" w:color="auto"/>
          </w:divBdr>
        </w:div>
        <w:div w:id="1887987350">
          <w:marLeft w:val="0"/>
          <w:marRight w:val="0"/>
          <w:marTop w:val="0"/>
          <w:marBottom w:val="0"/>
          <w:divBdr>
            <w:top w:val="none" w:sz="0" w:space="0" w:color="auto"/>
            <w:left w:val="none" w:sz="0" w:space="0" w:color="auto"/>
            <w:bottom w:val="none" w:sz="0" w:space="0" w:color="auto"/>
            <w:right w:val="none" w:sz="0" w:space="0" w:color="auto"/>
          </w:divBdr>
        </w:div>
        <w:div w:id="522979870">
          <w:marLeft w:val="0"/>
          <w:marRight w:val="0"/>
          <w:marTop w:val="0"/>
          <w:marBottom w:val="0"/>
          <w:divBdr>
            <w:top w:val="none" w:sz="0" w:space="0" w:color="auto"/>
            <w:left w:val="none" w:sz="0" w:space="0" w:color="auto"/>
            <w:bottom w:val="none" w:sz="0" w:space="0" w:color="auto"/>
            <w:right w:val="none" w:sz="0" w:space="0" w:color="auto"/>
          </w:divBdr>
        </w:div>
        <w:div w:id="908001574">
          <w:marLeft w:val="0"/>
          <w:marRight w:val="0"/>
          <w:marTop w:val="0"/>
          <w:marBottom w:val="0"/>
          <w:divBdr>
            <w:top w:val="none" w:sz="0" w:space="0" w:color="auto"/>
            <w:left w:val="none" w:sz="0" w:space="0" w:color="auto"/>
            <w:bottom w:val="none" w:sz="0" w:space="0" w:color="auto"/>
            <w:right w:val="none" w:sz="0" w:space="0" w:color="auto"/>
          </w:divBdr>
        </w:div>
        <w:div w:id="528837160">
          <w:marLeft w:val="0"/>
          <w:marRight w:val="0"/>
          <w:marTop w:val="0"/>
          <w:marBottom w:val="0"/>
          <w:divBdr>
            <w:top w:val="none" w:sz="0" w:space="0" w:color="auto"/>
            <w:left w:val="none" w:sz="0" w:space="0" w:color="auto"/>
            <w:bottom w:val="none" w:sz="0" w:space="0" w:color="auto"/>
            <w:right w:val="none" w:sz="0" w:space="0" w:color="auto"/>
          </w:divBdr>
        </w:div>
        <w:div w:id="788477555">
          <w:marLeft w:val="0"/>
          <w:marRight w:val="0"/>
          <w:marTop w:val="0"/>
          <w:marBottom w:val="0"/>
          <w:divBdr>
            <w:top w:val="none" w:sz="0" w:space="0" w:color="auto"/>
            <w:left w:val="none" w:sz="0" w:space="0" w:color="auto"/>
            <w:bottom w:val="none" w:sz="0" w:space="0" w:color="auto"/>
            <w:right w:val="none" w:sz="0" w:space="0" w:color="auto"/>
          </w:divBdr>
        </w:div>
        <w:div w:id="1718627097">
          <w:marLeft w:val="0"/>
          <w:marRight w:val="0"/>
          <w:marTop w:val="0"/>
          <w:marBottom w:val="0"/>
          <w:divBdr>
            <w:top w:val="none" w:sz="0" w:space="0" w:color="auto"/>
            <w:left w:val="none" w:sz="0" w:space="0" w:color="auto"/>
            <w:bottom w:val="none" w:sz="0" w:space="0" w:color="auto"/>
            <w:right w:val="none" w:sz="0" w:space="0" w:color="auto"/>
          </w:divBdr>
        </w:div>
        <w:div w:id="1935045786">
          <w:marLeft w:val="0"/>
          <w:marRight w:val="0"/>
          <w:marTop w:val="0"/>
          <w:marBottom w:val="0"/>
          <w:divBdr>
            <w:top w:val="none" w:sz="0" w:space="0" w:color="auto"/>
            <w:left w:val="none" w:sz="0" w:space="0" w:color="auto"/>
            <w:bottom w:val="none" w:sz="0" w:space="0" w:color="auto"/>
            <w:right w:val="none" w:sz="0" w:space="0" w:color="auto"/>
          </w:divBdr>
        </w:div>
        <w:div w:id="1946765112">
          <w:marLeft w:val="0"/>
          <w:marRight w:val="0"/>
          <w:marTop w:val="0"/>
          <w:marBottom w:val="0"/>
          <w:divBdr>
            <w:top w:val="none" w:sz="0" w:space="0" w:color="auto"/>
            <w:left w:val="none" w:sz="0" w:space="0" w:color="auto"/>
            <w:bottom w:val="none" w:sz="0" w:space="0" w:color="auto"/>
            <w:right w:val="none" w:sz="0" w:space="0" w:color="auto"/>
          </w:divBdr>
        </w:div>
        <w:div w:id="1592202321">
          <w:marLeft w:val="0"/>
          <w:marRight w:val="0"/>
          <w:marTop w:val="0"/>
          <w:marBottom w:val="0"/>
          <w:divBdr>
            <w:top w:val="none" w:sz="0" w:space="0" w:color="auto"/>
            <w:left w:val="none" w:sz="0" w:space="0" w:color="auto"/>
            <w:bottom w:val="none" w:sz="0" w:space="0" w:color="auto"/>
            <w:right w:val="none" w:sz="0" w:space="0" w:color="auto"/>
          </w:divBdr>
        </w:div>
        <w:div w:id="1698192377">
          <w:marLeft w:val="0"/>
          <w:marRight w:val="0"/>
          <w:marTop w:val="0"/>
          <w:marBottom w:val="0"/>
          <w:divBdr>
            <w:top w:val="none" w:sz="0" w:space="0" w:color="auto"/>
            <w:left w:val="none" w:sz="0" w:space="0" w:color="auto"/>
            <w:bottom w:val="none" w:sz="0" w:space="0" w:color="auto"/>
            <w:right w:val="none" w:sz="0" w:space="0" w:color="auto"/>
          </w:divBdr>
        </w:div>
        <w:div w:id="298607418">
          <w:marLeft w:val="0"/>
          <w:marRight w:val="0"/>
          <w:marTop w:val="0"/>
          <w:marBottom w:val="0"/>
          <w:divBdr>
            <w:top w:val="none" w:sz="0" w:space="0" w:color="auto"/>
            <w:left w:val="none" w:sz="0" w:space="0" w:color="auto"/>
            <w:bottom w:val="none" w:sz="0" w:space="0" w:color="auto"/>
            <w:right w:val="none" w:sz="0" w:space="0" w:color="auto"/>
          </w:divBdr>
        </w:div>
        <w:div w:id="1010831856">
          <w:marLeft w:val="0"/>
          <w:marRight w:val="0"/>
          <w:marTop w:val="0"/>
          <w:marBottom w:val="0"/>
          <w:divBdr>
            <w:top w:val="none" w:sz="0" w:space="0" w:color="auto"/>
            <w:left w:val="none" w:sz="0" w:space="0" w:color="auto"/>
            <w:bottom w:val="none" w:sz="0" w:space="0" w:color="auto"/>
            <w:right w:val="none" w:sz="0" w:space="0" w:color="auto"/>
          </w:divBdr>
        </w:div>
        <w:div w:id="742458658">
          <w:marLeft w:val="0"/>
          <w:marRight w:val="0"/>
          <w:marTop w:val="0"/>
          <w:marBottom w:val="0"/>
          <w:divBdr>
            <w:top w:val="none" w:sz="0" w:space="0" w:color="auto"/>
            <w:left w:val="none" w:sz="0" w:space="0" w:color="auto"/>
            <w:bottom w:val="none" w:sz="0" w:space="0" w:color="auto"/>
            <w:right w:val="none" w:sz="0" w:space="0" w:color="auto"/>
          </w:divBdr>
        </w:div>
        <w:div w:id="1751190745">
          <w:marLeft w:val="0"/>
          <w:marRight w:val="0"/>
          <w:marTop w:val="0"/>
          <w:marBottom w:val="0"/>
          <w:divBdr>
            <w:top w:val="none" w:sz="0" w:space="0" w:color="auto"/>
            <w:left w:val="none" w:sz="0" w:space="0" w:color="auto"/>
            <w:bottom w:val="none" w:sz="0" w:space="0" w:color="auto"/>
            <w:right w:val="none" w:sz="0" w:space="0" w:color="auto"/>
          </w:divBdr>
        </w:div>
        <w:div w:id="1877817676">
          <w:marLeft w:val="0"/>
          <w:marRight w:val="0"/>
          <w:marTop w:val="0"/>
          <w:marBottom w:val="0"/>
          <w:divBdr>
            <w:top w:val="none" w:sz="0" w:space="0" w:color="auto"/>
            <w:left w:val="none" w:sz="0" w:space="0" w:color="auto"/>
            <w:bottom w:val="none" w:sz="0" w:space="0" w:color="auto"/>
            <w:right w:val="none" w:sz="0" w:space="0" w:color="auto"/>
          </w:divBdr>
        </w:div>
        <w:div w:id="663046087">
          <w:marLeft w:val="0"/>
          <w:marRight w:val="0"/>
          <w:marTop w:val="0"/>
          <w:marBottom w:val="0"/>
          <w:divBdr>
            <w:top w:val="none" w:sz="0" w:space="0" w:color="auto"/>
            <w:left w:val="none" w:sz="0" w:space="0" w:color="auto"/>
            <w:bottom w:val="none" w:sz="0" w:space="0" w:color="auto"/>
            <w:right w:val="none" w:sz="0" w:space="0" w:color="auto"/>
          </w:divBdr>
        </w:div>
        <w:div w:id="709111884">
          <w:marLeft w:val="0"/>
          <w:marRight w:val="0"/>
          <w:marTop w:val="0"/>
          <w:marBottom w:val="0"/>
          <w:divBdr>
            <w:top w:val="none" w:sz="0" w:space="0" w:color="auto"/>
            <w:left w:val="none" w:sz="0" w:space="0" w:color="auto"/>
            <w:bottom w:val="none" w:sz="0" w:space="0" w:color="auto"/>
            <w:right w:val="none" w:sz="0" w:space="0" w:color="auto"/>
          </w:divBdr>
        </w:div>
        <w:div w:id="1725173554">
          <w:marLeft w:val="0"/>
          <w:marRight w:val="0"/>
          <w:marTop w:val="0"/>
          <w:marBottom w:val="0"/>
          <w:divBdr>
            <w:top w:val="none" w:sz="0" w:space="0" w:color="auto"/>
            <w:left w:val="none" w:sz="0" w:space="0" w:color="auto"/>
            <w:bottom w:val="none" w:sz="0" w:space="0" w:color="auto"/>
            <w:right w:val="none" w:sz="0" w:space="0" w:color="auto"/>
          </w:divBdr>
        </w:div>
        <w:div w:id="39521247">
          <w:marLeft w:val="0"/>
          <w:marRight w:val="0"/>
          <w:marTop w:val="0"/>
          <w:marBottom w:val="0"/>
          <w:divBdr>
            <w:top w:val="none" w:sz="0" w:space="0" w:color="auto"/>
            <w:left w:val="none" w:sz="0" w:space="0" w:color="auto"/>
            <w:bottom w:val="none" w:sz="0" w:space="0" w:color="auto"/>
            <w:right w:val="none" w:sz="0" w:space="0" w:color="auto"/>
          </w:divBdr>
        </w:div>
        <w:div w:id="11536730">
          <w:marLeft w:val="0"/>
          <w:marRight w:val="0"/>
          <w:marTop w:val="0"/>
          <w:marBottom w:val="0"/>
          <w:divBdr>
            <w:top w:val="none" w:sz="0" w:space="0" w:color="auto"/>
            <w:left w:val="none" w:sz="0" w:space="0" w:color="auto"/>
            <w:bottom w:val="none" w:sz="0" w:space="0" w:color="auto"/>
            <w:right w:val="none" w:sz="0" w:space="0" w:color="auto"/>
          </w:divBdr>
        </w:div>
      </w:divsChild>
    </w:div>
    <w:div w:id="2109080224">
      <w:bodyDiv w:val="1"/>
      <w:marLeft w:val="0"/>
      <w:marRight w:val="0"/>
      <w:marTop w:val="0"/>
      <w:marBottom w:val="0"/>
      <w:divBdr>
        <w:top w:val="none" w:sz="0" w:space="0" w:color="auto"/>
        <w:left w:val="none" w:sz="0" w:space="0" w:color="auto"/>
        <w:bottom w:val="none" w:sz="0" w:space="0" w:color="auto"/>
        <w:right w:val="none" w:sz="0" w:space="0" w:color="auto"/>
      </w:divBdr>
    </w:div>
    <w:div w:id="2130471836">
      <w:bodyDiv w:val="1"/>
      <w:marLeft w:val="0"/>
      <w:marRight w:val="0"/>
      <w:marTop w:val="0"/>
      <w:marBottom w:val="0"/>
      <w:divBdr>
        <w:top w:val="none" w:sz="0" w:space="0" w:color="auto"/>
        <w:left w:val="none" w:sz="0" w:space="0" w:color="auto"/>
        <w:bottom w:val="none" w:sz="0" w:space="0" w:color="auto"/>
        <w:right w:val="none" w:sz="0" w:space="0" w:color="auto"/>
      </w:divBdr>
      <w:divsChild>
        <w:div w:id="329338282">
          <w:marLeft w:val="0"/>
          <w:marRight w:val="0"/>
          <w:marTop w:val="0"/>
          <w:marBottom w:val="0"/>
          <w:divBdr>
            <w:top w:val="none" w:sz="0" w:space="0" w:color="auto"/>
            <w:left w:val="none" w:sz="0" w:space="0" w:color="auto"/>
            <w:bottom w:val="none" w:sz="0" w:space="0" w:color="auto"/>
            <w:right w:val="none" w:sz="0" w:space="0" w:color="auto"/>
          </w:divBdr>
        </w:div>
        <w:div w:id="259875664">
          <w:marLeft w:val="0"/>
          <w:marRight w:val="0"/>
          <w:marTop w:val="0"/>
          <w:marBottom w:val="0"/>
          <w:divBdr>
            <w:top w:val="none" w:sz="0" w:space="0" w:color="auto"/>
            <w:left w:val="none" w:sz="0" w:space="0" w:color="auto"/>
            <w:bottom w:val="none" w:sz="0" w:space="0" w:color="auto"/>
            <w:right w:val="none" w:sz="0" w:space="0" w:color="auto"/>
          </w:divBdr>
        </w:div>
        <w:div w:id="589316643">
          <w:marLeft w:val="0"/>
          <w:marRight w:val="0"/>
          <w:marTop w:val="0"/>
          <w:marBottom w:val="0"/>
          <w:divBdr>
            <w:top w:val="none" w:sz="0" w:space="0" w:color="auto"/>
            <w:left w:val="none" w:sz="0" w:space="0" w:color="auto"/>
            <w:bottom w:val="none" w:sz="0" w:space="0" w:color="auto"/>
            <w:right w:val="none" w:sz="0" w:space="0" w:color="auto"/>
          </w:divBdr>
        </w:div>
        <w:div w:id="1211265990">
          <w:marLeft w:val="0"/>
          <w:marRight w:val="0"/>
          <w:marTop w:val="0"/>
          <w:marBottom w:val="0"/>
          <w:divBdr>
            <w:top w:val="none" w:sz="0" w:space="0" w:color="auto"/>
            <w:left w:val="none" w:sz="0" w:space="0" w:color="auto"/>
            <w:bottom w:val="none" w:sz="0" w:space="0" w:color="auto"/>
            <w:right w:val="none" w:sz="0" w:space="0" w:color="auto"/>
          </w:divBdr>
        </w:div>
        <w:div w:id="547494038">
          <w:marLeft w:val="0"/>
          <w:marRight w:val="0"/>
          <w:marTop w:val="0"/>
          <w:marBottom w:val="0"/>
          <w:divBdr>
            <w:top w:val="none" w:sz="0" w:space="0" w:color="auto"/>
            <w:left w:val="none" w:sz="0" w:space="0" w:color="auto"/>
            <w:bottom w:val="none" w:sz="0" w:space="0" w:color="auto"/>
            <w:right w:val="none" w:sz="0" w:space="0" w:color="auto"/>
          </w:divBdr>
        </w:div>
        <w:div w:id="956639746">
          <w:marLeft w:val="0"/>
          <w:marRight w:val="0"/>
          <w:marTop w:val="0"/>
          <w:marBottom w:val="0"/>
          <w:divBdr>
            <w:top w:val="none" w:sz="0" w:space="0" w:color="auto"/>
            <w:left w:val="none" w:sz="0" w:space="0" w:color="auto"/>
            <w:bottom w:val="none" w:sz="0" w:space="0" w:color="auto"/>
            <w:right w:val="none" w:sz="0" w:space="0" w:color="auto"/>
          </w:divBdr>
        </w:div>
        <w:div w:id="341249469">
          <w:marLeft w:val="0"/>
          <w:marRight w:val="0"/>
          <w:marTop w:val="0"/>
          <w:marBottom w:val="0"/>
          <w:divBdr>
            <w:top w:val="none" w:sz="0" w:space="0" w:color="auto"/>
            <w:left w:val="none" w:sz="0" w:space="0" w:color="auto"/>
            <w:bottom w:val="none" w:sz="0" w:space="0" w:color="auto"/>
            <w:right w:val="none" w:sz="0" w:space="0" w:color="auto"/>
          </w:divBdr>
        </w:div>
        <w:div w:id="380329482">
          <w:marLeft w:val="0"/>
          <w:marRight w:val="0"/>
          <w:marTop w:val="0"/>
          <w:marBottom w:val="0"/>
          <w:divBdr>
            <w:top w:val="none" w:sz="0" w:space="0" w:color="auto"/>
            <w:left w:val="none" w:sz="0" w:space="0" w:color="auto"/>
            <w:bottom w:val="none" w:sz="0" w:space="0" w:color="auto"/>
            <w:right w:val="none" w:sz="0" w:space="0" w:color="auto"/>
          </w:divBdr>
        </w:div>
        <w:div w:id="919102988">
          <w:marLeft w:val="0"/>
          <w:marRight w:val="0"/>
          <w:marTop w:val="0"/>
          <w:marBottom w:val="0"/>
          <w:divBdr>
            <w:top w:val="none" w:sz="0" w:space="0" w:color="auto"/>
            <w:left w:val="none" w:sz="0" w:space="0" w:color="auto"/>
            <w:bottom w:val="none" w:sz="0" w:space="0" w:color="auto"/>
            <w:right w:val="none" w:sz="0" w:space="0" w:color="auto"/>
          </w:divBdr>
        </w:div>
        <w:div w:id="164168277">
          <w:marLeft w:val="0"/>
          <w:marRight w:val="0"/>
          <w:marTop w:val="0"/>
          <w:marBottom w:val="0"/>
          <w:divBdr>
            <w:top w:val="none" w:sz="0" w:space="0" w:color="auto"/>
            <w:left w:val="none" w:sz="0" w:space="0" w:color="auto"/>
            <w:bottom w:val="none" w:sz="0" w:space="0" w:color="auto"/>
            <w:right w:val="none" w:sz="0" w:space="0" w:color="auto"/>
          </w:divBdr>
        </w:div>
        <w:div w:id="1997490659">
          <w:marLeft w:val="0"/>
          <w:marRight w:val="0"/>
          <w:marTop w:val="0"/>
          <w:marBottom w:val="0"/>
          <w:divBdr>
            <w:top w:val="none" w:sz="0" w:space="0" w:color="auto"/>
            <w:left w:val="none" w:sz="0" w:space="0" w:color="auto"/>
            <w:bottom w:val="none" w:sz="0" w:space="0" w:color="auto"/>
            <w:right w:val="none" w:sz="0" w:space="0" w:color="auto"/>
          </w:divBdr>
        </w:div>
        <w:div w:id="453519541">
          <w:marLeft w:val="0"/>
          <w:marRight w:val="0"/>
          <w:marTop w:val="0"/>
          <w:marBottom w:val="0"/>
          <w:divBdr>
            <w:top w:val="none" w:sz="0" w:space="0" w:color="auto"/>
            <w:left w:val="none" w:sz="0" w:space="0" w:color="auto"/>
            <w:bottom w:val="none" w:sz="0" w:space="0" w:color="auto"/>
            <w:right w:val="none" w:sz="0" w:space="0" w:color="auto"/>
          </w:divBdr>
        </w:div>
        <w:div w:id="831722657">
          <w:marLeft w:val="0"/>
          <w:marRight w:val="0"/>
          <w:marTop w:val="0"/>
          <w:marBottom w:val="0"/>
          <w:divBdr>
            <w:top w:val="none" w:sz="0" w:space="0" w:color="auto"/>
            <w:left w:val="none" w:sz="0" w:space="0" w:color="auto"/>
            <w:bottom w:val="none" w:sz="0" w:space="0" w:color="auto"/>
            <w:right w:val="none" w:sz="0" w:space="0" w:color="auto"/>
          </w:divBdr>
        </w:div>
        <w:div w:id="2014606961">
          <w:marLeft w:val="0"/>
          <w:marRight w:val="0"/>
          <w:marTop w:val="0"/>
          <w:marBottom w:val="0"/>
          <w:divBdr>
            <w:top w:val="none" w:sz="0" w:space="0" w:color="auto"/>
            <w:left w:val="none" w:sz="0" w:space="0" w:color="auto"/>
            <w:bottom w:val="none" w:sz="0" w:space="0" w:color="auto"/>
            <w:right w:val="none" w:sz="0" w:space="0" w:color="auto"/>
          </w:divBdr>
        </w:div>
        <w:div w:id="2035378036">
          <w:marLeft w:val="0"/>
          <w:marRight w:val="0"/>
          <w:marTop w:val="0"/>
          <w:marBottom w:val="0"/>
          <w:divBdr>
            <w:top w:val="none" w:sz="0" w:space="0" w:color="auto"/>
            <w:left w:val="none" w:sz="0" w:space="0" w:color="auto"/>
            <w:bottom w:val="none" w:sz="0" w:space="0" w:color="auto"/>
            <w:right w:val="none" w:sz="0" w:space="0" w:color="auto"/>
          </w:divBdr>
        </w:div>
        <w:div w:id="1627854864">
          <w:marLeft w:val="0"/>
          <w:marRight w:val="0"/>
          <w:marTop w:val="0"/>
          <w:marBottom w:val="0"/>
          <w:divBdr>
            <w:top w:val="none" w:sz="0" w:space="0" w:color="auto"/>
            <w:left w:val="none" w:sz="0" w:space="0" w:color="auto"/>
            <w:bottom w:val="none" w:sz="0" w:space="0" w:color="auto"/>
            <w:right w:val="none" w:sz="0" w:space="0" w:color="auto"/>
          </w:divBdr>
        </w:div>
        <w:div w:id="807670596">
          <w:marLeft w:val="0"/>
          <w:marRight w:val="0"/>
          <w:marTop w:val="0"/>
          <w:marBottom w:val="0"/>
          <w:divBdr>
            <w:top w:val="none" w:sz="0" w:space="0" w:color="auto"/>
            <w:left w:val="none" w:sz="0" w:space="0" w:color="auto"/>
            <w:bottom w:val="none" w:sz="0" w:space="0" w:color="auto"/>
            <w:right w:val="none" w:sz="0" w:space="0" w:color="auto"/>
          </w:divBdr>
        </w:div>
        <w:div w:id="806165441">
          <w:marLeft w:val="0"/>
          <w:marRight w:val="0"/>
          <w:marTop w:val="0"/>
          <w:marBottom w:val="0"/>
          <w:divBdr>
            <w:top w:val="none" w:sz="0" w:space="0" w:color="auto"/>
            <w:left w:val="none" w:sz="0" w:space="0" w:color="auto"/>
            <w:bottom w:val="none" w:sz="0" w:space="0" w:color="auto"/>
            <w:right w:val="none" w:sz="0" w:space="0" w:color="auto"/>
          </w:divBdr>
        </w:div>
        <w:div w:id="1543864034">
          <w:marLeft w:val="0"/>
          <w:marRight w:val="0"/>
          <w:marTop w:val="0"/>
          <w:marBottom w:val="0"/>
          <w:divBdr>
            <w:top w:val="none" w:sz="0" w:space="0" w:color="auto"/>
            <w:left w:val="none" w:sz="0" w:space="0" w:color="auto"/>
            <w:bottom w:val="none" w:sz="0" w:space="0" w:color="auto"/>
            <w:right w:val="none" w:sz="0" w:space="0" w:color="auto"/>
          </w:divBdr>
        </w:div>
        <w:div w:id="1108231310">
          <w:marLeft w:val="0"/>
          <w:marRight w:val="0"/>
          <w:marTop w:val="0"/>
          <w:marBottom w:val="0"/>
          <w:divBdr>
            <w:top w:val="none" w:sz="0" w:space="0" w:color="auto"/>
            <w:left w:val="none" w:sz="0" w:space="0" w:color="auto"/>
            <w:bottom w:val="none" w:sz="0" w:space="0" w:color="auto"/>
            <w:right w:val="none" w:sz="0" w:space="0" w:color="auto"/>
          </w:divBdr>
        </w:div>
        <w:div w:id="502084499">
          <w:marLeft w:val="0"/>
          <w:marRight w:val="0"/>
          <w:marTop w:val="0"/>
          <w:marBottom w:val="0"/>
          <w:divBdr>
            <w:top w:val="none" w:sz="0" w:space="0" w:color="auto"/>
            <w:left w:val="none" w:sz="0" w:space="0" w:color="auto"/>
            <w:bottom w:val="none" w:sz="0" w:space="0" w:color="auto"/>
            <w:right w:val="none" w:sz="0" w:space="0" w:color="auto"/>
          </w:divBdr>
        </w:div>
      </w:divsChild>
    </w:div>
    <w:div w:id="2140105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s://www.armswissbank.am/upload/social&amp;environmental_risk_management_guide_eng.pdf" TargetMode="External"/><Relationship Id="rId2" Type="http://schemas.openxmlformats.org/officeDocument/2006/relationships/hyperlink" Target="https://www.idfc.org/wp-content/uploads/2019/12/idfc_report_final-2.pdf" TargetMode="External"/><Relationship Id="rId1" Type="http://schemas.openxmlformats.org/officeDocument/2006/relationships/hyperlink" Target="https://www.lma.eu.com/about-us" TargetMode="External"/><Relationship Id="rId5" Type="http://schemas.openxmlformats.org/officeDocument/2006/relationships/hyperlink" Target="https://staff.am/en/company/hh-kentronakan-bank" TargetMode="External"/><Relationship Id="rId4" Type="http://schemas.openxmlformats.org/officeDocument/2006/relationships/hyperlink" Target="https://www.armswissbank.am/upload/social&amp;environmental_risk_management_guide_eng.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CE38FBA-D750-004D-B17C-11EC6A96C290}" type="doc">
      <dgm:prSet loTypeId="urn:microsoft.com/office/officeart/2005/8/layout/process3" loCatId="" qsTypeId="urn:microsoft.com/office/officeart/2005/8/quickstyle/simple1" qsCatId="simple" csTypeId="urn:microsoft.com/office/officeart/2005/8/colors/accent1_2" csCatId="accent1" phldr="1"/>
      <dgm:spPr/>
      <dgm:t>
        <a:bodyPr/>
        <a:lstStyle/>
        <a:p>
          <a:endParaRPr lang="fr-FR"/>
        </a:p>
      </dgm:t>
    </dgm:pt>
    <dgm:pt modelId="{4E845619-880C-CC4D-8ECB-853E28E8E6BA}">
      <dgm:prSet phldrT="[Texte]" custT="1"/>
      <dgm:spPr/>
      <dgm:t>
        <a:bodyPr/>
        <a:lstStyle/>
        <a:p>
          <a:r>
            <a:rPr lang="fr-FR" sz="1050"/>
            <a:t>Bank Credit Process</a:t>
          </a:r>
        </a:p>
      </dgm:t>
    </dgm:pt>
    <dgm:pt modelId="{6BDB05B8-6B20-F848-AFAD-1DCF12AC8C18}" type="parTrans" cxnId="{4F248E47-4D01-0942-88EF-8472DC9ED302}">
      <dgm:prSet/>
      <dgm:spPr/>
      <dgm:t>
        <a:bodyPr/>
        <a:lstStyle/>
        <a:p>
          <a:endParaRPr lang="fr-FR" sz="2800"/>
        </a:p>
      </dgm:t>
    </dgm:pt>
    <dgm:pt modelId="{50E6CA11-0FEC-524B-88EF-FC3FE0871B7F}" type="sibTrans" cxnId="{4F248E47-4D01-0942-88EF-8472DC9ED302}">
      <dgm:prSet custT="1"/>
      <dgm:spPr/>
      <dgm:t>
        <a:bodyPr/>
        <a:lstStyle/>
        <a:p>
          <a:endParaRPr lang="fr-FR" sz="900"/>
        </a:p>
      </dgm:t>
    </dgm:pt>
    <dgm:pt modelId="{6262CDDC-8481-5747-A79C-06299CDBF6F6}">
      <dgm:prSet phldrT="[Texte]" custT="1"/>
      <dgm:spPr/>
      <dgm:t>
        <a:bodyPr/>
        <a:lstStyle/>
        <a:p>
          <a:r>
            <a:rPr lang="fr-FR" sz="1050"/>
            <a:t>Project Concept and in principle approval</a:t>
          </a:r>
        </a:p>
      </dgm:t>
    </dgm:pt>
    <dgm:pt modelId="{E08BF34A-2315-A24B-A497-43DE6911295B}" type="parTrans" cxnId="{CA97BBF0-96F3-5A4D-AF9B-DA3FABDD8744}">
      <dgm:prSet/>
      <dgm:spPr/>
      <dgm:t>
        <a:bodyPr/>
        <a:lstStyle/>
        <a:p>
          <a:endParaRPr lang="fr-FR" sz="2800"/>
        </a:p>
      </dgm:t>
    </dgm:pt>
    <dgm:pt modelId="{D59D04A1-C708-2842-A01E-7C9F562B4831}" type="sibTrans" cxnId="{CA97BBF0-96F3-5A4D-AF9B-DA3FABDD8744}">
      <dgm:prSet/>
      <dgm:spPr/>
      <dgm:t>
        <a:bodyPr/>
        <a:lstStyle/>
        <a:p>
          <a:endParaRPr lang="fr-FR" sz="2800"/>
        </a:p>
      </dgm:t>
    </dgm:pt>
    <dgm:pt modelId="{FA6467FD-2F72-7644-BB13-7E308DF8522E}">
      <dgm:prSet phldrT="[Texte]" custT="1"/>
      <dgm:spPr/>
      <dgm:t>
        <a:bodyPr/>
        <a:lstStyle/>
        <a:p>
          <a:r>
            <a:rPr lang="fr-FR" sz="1050"/>
            <a:t>Bank Portfolio</a:t>
          </a:r>
        </a:p>
      </dgm:t>
    </dgm:pt>
    <dgm:pt modelId="{CC768670-F04E-7246-8B00-62DEAF15516B}" type="parTrans" cxnId="{1BA183A8-8187-0242-A2E9-F8C14C17BF3C}">
      <dgm:prSet/>
      <dgm:spPr/>
      <dgm:t>
        <a:bodyPr/>
        <a:lstStyle/>
        <a:p>
          <a:endParaRPr lang="fr-FR" sz="2800"/>
        </a:p>
      </dgm:t>
    </dgm:pt>
    <dgm:pt modelId="{AD7B74DC-6395-184A-8AB9-3229285CC5C1}" type="sibTrans" cxnId="{1BA183A8-8187-0242-A2E9-F8C14C17BF3C}">
      <dgm:prSet custT="1"/>
      <dgm:spPr/>
      <dgm:t>
        <a:bodyPr/>
        <a:lstStyle/>
        <a:p>
          <a:endParaRPr lang="fr-FR" sz="900"/>
        </a:p>
      </dgm:t>
    </dgm:pt>
    <dgm:pt modelId="{6A30F493-E64C-E146-A5A3-16AF92DDF92B}">
      <dgm:prSet phldrT="[Texte]" custT="1"/>
      <dgm:spPr/>
      <dgm:t>
        <a:bodyPr/>
        <a:lstStyle/>
        <a:p>
          <a:r>
            <a:rPr lang="fr-FR" sz="1050"/>
            <a:t>Portfolio management</a:t>
          </a:r>
        </a:p>
      </dgm:t>
    </dgm:pt>
    <dgm:pt modelId="{071405A5-6E54-D14C-8C92-1DBB7E70039F}" type="parTrans" cxnId="{40B07656-F73C-BD4C-9984-C8E032A00A25}">
      <dgm:prSet/>
      <dgm:spPr/>
      <dgm:t>
        <a:bodyPr/>
        <a:lstStyle/>
        <a:p>
          <a:endParaRPr lang="fr-FR" sz="2800"/>
        </a:p>
      </dgm:t>
    </dgm:pt>
    <dgm:pt modelId="{DD81E130-B178-0140-B110-D179E081DB51}" type="sibTrans" cxnId="{40B07656-F73C-BD4C-9984-C8E032A00A25}">
      <dgm:prSet/>
      <dgm:spPr/>
      <dgm:t>
        <a:bodyPr/>
        <a:lstStyle/>
        <a:p>
          <a:endParaRPr lang="fr-FR" sz="2800"/>
        </a:p>
      </dgm:t>
    </dgm:pt>
    <dgm:pt modelId="{EA7686EB-A73E-F347-B565-9F0AEA953C55}">
      <dgm:prSet phldrT="[Texte]" custT="1"/>
      <dgm:spPr/>
      <dgm:t>
        <a:bodyPr/>
        <a:lstStyle/>
        <a:p>
          <a:r>
            <a:rPr lang="fr-FR" sz="1050"/>
            <a:t>Green Bond Portfolio</a:t>
          </a:r>
        </a:p>
      </dgm:t>
    </dgm:pt>
    <dgm:pt modelId="{A879B79B-2C60-0042-BDCB-CC6BA8751412}" type="parTrans" cxnId="{35D99771-CC88-7F48-9A7A-155F03AD76F5}">
      <dgm:prSet/>
      <dgm:spPr/>
      <dgm:t>
        <a:bodyPr/>
        <a:lstStyle/>
        <a:p>
          <a:endParaRPr lang="fr-FR" sz="2800"/>
        </a:p>
      </dgm:t>
    </dgm:pt>
    <dgm:pt modelId="{C84BF20A-8550-1A4D-8678-0FE7D26F8DB8}" type="sibTrans" cxnId="{35D99771-CC88-7F48-9A7A-155F03AD76F5}">
      <dgm:prSet/>
      <dgm:spPr/>
      <dgm:t>
        <a:bodyPr/>
        <a:lstStyle/>
        <a:p>
          <a:endParaRPr lang="fr-FR" sz="2800"/>
        </a:p>
      </dgm:t>
    </dgm:pt>
    <dgm:pt modelId="{D212D776-4013-4B4C-B57E-4E6D0D947BB9}">
      <dgm:prSet phldrT="[Texte]" custT="1"/>
      <dgm:spPr/>
      <dgm:t>
        <a:bodyPr/>
        <a:lstStyle/>
        <a:p>
          <a:r>
            <a:rPr lang="fr-FR" sz="1050"/>
            <a:t>Green indicators</a:t>
          </a:r>
        </a:p>
      </dgm:t>
    </dgm:pt>
    <dgm:pt modelId="{F52F4AC9-CE91-BA47-9646-9FC1FC58C564}" type="parTrans" cxnId="{272C02D6-9B94-484F-91CC-B0F8565E9291}">
      <dgm:prSet/>
      <dgm:spPr/>
      <dgm:t>
        <a:bodyPr/>
        <a:lstStyle/>
        <a:p>
          <a:endParaRPr lang="fr-FR" sz="2800"/>
        </a:p>
      </dgm:t>
    </dgm:pt>
    <dgm:pt modelId="{BA07B1C2-154F-AB4B-AA20-73213550DC8D}" type="sibTrans" cxnId="{272C02D6-9B94-484F-91CC-B0F8565E9291}">
      <dgm:prSet/>
      <dgm:spPr/>
      <dgm:t>
        <a:bodyPr/>
        <a:lstStyle/>
        <a:p>
          <a:endParaRPr lang="fr-FR" sz="2800"/>
        </a:p>
      </dgm:t>
    </dgm:pt>
    <dgm:pt modelId="{166CD934-2EA6-B04C-BE75-A8523A4EE2F1}">
      <dgm:prSet phldrT="[Texte]" custT="1"/>
      <dgm:spPr/>
      <dgm:t>
        <a:bodyPr/>
        <a:lstStyle/>
        <a:p>
          <a:r>
            <a:rPr lang="fr-FR" sz="1050"/>
            <a:t>Deal screen and early review</a:t>
          </a:r>
        </a:p>
      </dgm:t>
    </dgm:pt>
    <dgm:pt modelId="{A99F7620-4BC2-3842-A7C2-9D547D002F8B}" type="parTrans" cxnId="{A1CDE2BE-0E85-3F48-BC0B-853AE99D6306}">
      <dgm:prSet/>
      <dgm:spPr/>
      <dgm:t>
        <a:bodyPr/>
        <a:lstStyle/>
        <a:p>
          <a:endParaRPr lang="fr-FR" sz="2800"/>
        </a:p>
      </dgm:t>
    </dgm:pt>
    <dgm:pt modelId="{1A8E5572-1C8D-F14F-9A3D-F0F917B55CF2}" type="sibTrans" cxnId="{A1CDE2BE-0E85-3F48-BC0B-853AE99D6306}">
      <dgm:prSet/>
      <dgm:spPr/>
      <dgm:t>
        <a:bodyPr/>
        <a:lstStyle/>
        <a:p>
          <a:endParaRPr lang="fr-FR" sz="2800"/>
        </a:p>
      </dgm:t>
    </dgm:pt>
    <dgm:pt modelId="{EBBB3229-D4A7-D447-8417-19737920F73E}">
      <dgm:prSet phldrT="[Texte]" custT="1"/>
      <dgm:spPr/>
      <dgm:t>
        <a:bodyPr/>
        <a:lstStyle/>
        <a:p>
          <a:r>
            <a:rPr lang="fr-FR" sz="1050"/>
            <a:t>Due Diligence</a:t>
          </a:r>
        </a:p>
      </dgm:t>
    </dgm:pt>
    <dgm:pt modelId="{C0AA1647-2F99-364F-9DE2-F1920613968F}" type="parTrans" cxnId="{E38BB8AB-6809-0D40-A5D8-B64D2F9E8A34}">
      <dgm:prSet/>
      <dgm:spPr/>
      <dgm:t>
        <a:bodyPr/>
        <a:lstStyle/>
        <a:p>
          <a:endParaRPr lang="fr-FR" sz="2800"/>
        </a:p>
      </dgm:t>
    </dgm:pt>
    <dgm:pt modelId="{A014AD1F-FE3F-1649-AC33-935146E786FD}" type="sibTrans" cxnId="{E38BB8AB-6809-0D40-A5D8-B64D2F9E8A34}">
      <dgm:prSet/>
      <dgm:spPr/>
      <dgm:t>
        <a:bodyPr/>
        <a:lstStyle/>
        <a:p>
          <a:endParaRPr lang="fr-FR" sz="2800"/>
        </a:p>
      </dgm:t>
    </dgm:pt>
    <dgm:pt modelId="{26A5BFC7-73E5-934E-B0E8-220FA44F3F7F}">
      <dgm:prSet phldrT="[Texte]" custT="1"/>
      <dgm:spPr/>
      <dgm:t>
        <a:bodyPr/>
        <a:lstStyle/>
        <a:p>
          <a:r>
            <a:rPr lang="fr-FR" sz="1050"/>
            <a:t>Apparaisal and </a:t>
          </a:r>
          <a:r>
            <a:rPr lang="en-US" sz="1050" u="sng"/>
            <a:t>Environmental and Social Safeguard Standards and Climate</a:t>
          </a:r>
          <a:endParaRPr lang="fr-FR" sz="1050"/>
        </a:p>
      </dgm:t>
    </dgm:pt>
    <dgm:pt modelId="{DE458DD3-8067-5E4A-86BC-CE3B8D0D41EC}" type="parTrans" cxnId="{7046C43F-DB3C-EC4C-8D24-9BD05830D716}">
      <dgm:prSet/>
      <dgm:spPr/>
      <dgm:t>
        <a:bodyPr/>
        <a:lstStyle/>
        <a:p>
          <a:endParaRPr lang="fr-FR" sz="2800"/>
        </a:p>
      </dgm:t>
    </dgm:pt>
    <dgm:pt modelId="{2B0A944F-73F8-2E4F-9769-39335035332F}" type="sibTrans" cxnId="{7046C43F-DB3C-EC4C-8D24-9BD05830D716}">
      <dgm:prSet/>
      <dgm:spPr/>
      <dgm:t>
        <a:bodyPr/>
        <a:lstStyle/>
        <a:p>
          <a:endParaRPr lang="fr-FR" sz="2800"/>
        </a:p>
      </dgm:t>
    </dgm:pt>
    <dgm:pt modelId="{2764AD33-09FB-9C46-8EF1-67D585645C08}">
      <dgm:prSet phldrT="[Texte]" custT="1"/>
      <dgm:spPr/>
      <dgm:t>
        <a:bodyPr/>
        <a:lstStyle/>
        <a:p>
          <a:r>
            <a:rPr lang="fr-FR" sz="1050"/>
            <a:t>Credit approval</a:t>
          </a:r>
        </a:p>
      </dgm:t>
    </dgm:pt>
    <dgm:pt modelId="{00EE381A-4680-F942-8F25-E72082FAE434}" type="parTrans" cxnId="{A489DAED-9001-FD4B-ACF8-33A9CEE7196B}">
      <dgm:prSet/>
      <dgm:spPr/>
      <dgm:t>
        <a:bodyPr/>
        <a:lstStyle/>
        <a:p>
          <a:endParaRPr lang="fr-FR" sz="2800"/>
        </a:p>
      </dgm:t>
    </dgm:pt>
    <dgm:pt modelId="{678CAA6D-E3B4-2442-AD79-4A2EFDC1FD58}" type="sibTrans" cxnId="{A489DAED-9001-FD4B-ACF8-33A9CEE7196B}">
      <dgm:prSet/>
      <dgm:spPr/>
      <dgm:t>
        <a:bodyPr/>
        <a:lstStyle/>
        <a:p>
          <a:endParaRPr lang="fr-FR" sz="2800"/>
        </a:p>
      </dgm:t>
    </dgm:pt>
    <dgm:pt modelId="{E1098AFF-2A75-0E45-9CD7-2B5ACD7BF278}">
      <dgm:prSet phldrT="[Texte]" custT="1"/>
      <dgm:spPr/>
      <dgm:t>
        <a:bodyPr/>
        <a:lstStyle/>
        <a:p>
          <a:r>
            <a:rPr lang="fr-FR" sz="1050"/>
            <a:t>Contract negociation and settlement</a:t>
          </a:r>
        </a:p>
      </dgm:t>
    </dgm:pt>
    <dgm:pt modelId="{8F62A809-0817-3743-B684-B65C3B07EAA2}" type="parTrans" cxnId="{2EAA424B-36E1-384A-8126-7FDE64E5CE53}">
      <dgm:prSet/>
      <dgm:spPr/>
      <dgm:t>
        <a:bodyPr/>
        <a:lstStyle/>
        <a:p>
          <a:endParaRPr lang="fr-FR" sz="2800"/>
        </a:p>
      </dgm:t>
    </dgm:pt>
    <dgm:pt modelId="{C19806DA-903E-BC48-8C15-4A2B5432E2AA}" type="sibTrans" cxnId="{2EAA424B-36E1-384A-8126-7FDE64E5CE53}">
      <dgm:prSet/>
      <dgm:spPr/>
      <dgm:t>
        <a:bodyPr/>
        <a:lstStyle/>
        <a:p>
          <a:endParaRPr lang="fr-FR" sz="2800"/>
        </a:p>
      </dgm:t>
    </dgm:pt>
    <dgm:pt modelId="{791AF14B-1AF0-7B44-AC98-0FA4D6C83F92}">
      <dgm:prSet phldrT="[Texte]" custT="1"/>
      <dgm:spPr/>
      <dgm:t>
        <a:bodyPr/>
        <a:lstStyle/>
        <a:p>
          <a:r>
            <a:rPr lang="fr-FR" sz="1050"/>
            <a:t>Portfolio assessment</a:t>
          </a:r>
        </a:p>
      </dgm:t>
    </dgm:pt>
    <dgm:pt modelId="{1A96E1E3-9C74-FF47-874B-C72E0516CEBB}" type="parTrans" cxnId="{675CADB8-67B8-5C48-9452-8556D1F0B55A}">
      <dgm:prSet/>
      <dgm:spPr/>
      <dgm:t>
        <a:bodyPr/>
        <a:lstStyle/>
        <a:p>
          <a:endParaRPr lang="fr-FR" sz="2800"/>
        </a:p>
      </dgm:t>
    </dgm:pt>
    <dgm:pt modelId="{0536EBD7-8DE2-DA49-A3E1-A24912434B7A}" type="sibTrans" cxnId="{675CADB8-67B8-5C48-9452-8556D1F0B55A}">
      <dgm:prSet/>
      <dgm:spPr/>
      <dgm:t>
        <a:bodyPr/>
        <a:lstStyle/>
        <a:p>
          <a:endParaRPr lang="fr-FR" sz="2800"/>
        </a:p>
      </dgm:t>
    </dgm:pt>
    <dgm:pt modelId="{C1A3EE02-58E5-5E41-99C5-A1D42AE7088C}">
      <dgm:prSet phldrT="[Texte]" custT="1"/>
      <dgm:spPr/>
      <dgm:t>
        <a:bodyPr/>
        <a:lstStyle/>
        <a:p>
          <a:r>
            <a:rPr lang="fr-FR" sz="1050"/>
            <a:t>Green proceeds</a:t>
          </a:r>
        </a:p>
      </dgm:t>
    </dgm:pt>
    <dgm:pt modelId="{C91645D2-B2F5-DE48-802D-9F3C4A205D1B}" type="parTrans" cxnId="{FCE6600A-03D8-B54C-BFF5-00439C3A8EFC}">
      <dgm:prSet/>
      <dgm:spPr/>
      <dgm:t>
        <a:bodyPr/>
        <a:lstStyle/>
        <a:p>
          <a:endParaRPr lang="fr-FR" sz="2800"/>
        </a:p>
      </dgm:t>
    </dgm:pt>
    <dgm:pt modelId="{E2D8C049-EF89-F443-9F2B-8495B53870FA}" type="sibTrans" cxnId="{FCE6600A-03D8-B54C-BFF5-00439C3A8EFC}">
      <dgm:prSet/>
      <dgm:spPr/>
      <dgm:t>
        <a:bodyPr/>
        <a:lstStyle/>
        <a:p>
          <a:endParaRPr lang="fr-FR" sz="2800"/>
        </a:p>
      </dgm:t>
    </dgm:pt>
    <dgm:pt modelId="{F282BE17-7004-5340-8EC3-87A4ADCD34A4}">
      <dgm:prSet phldrT="[Texte]" custT="1"/>
      <dgm:spPr/>
      <dgm:t>
        <a:bodyPr/>
        <a:lstStyle/>
        <a:p>
          <a:r>
            <a:rPr lang="fr-FR" sz="1050"/>
            <a:t>Monitoring and Reporting</a:t>
          </a:r>
        </a:p>
      </dgm:t>
    </dgm:pt>
    <dgm:pt modelId="{4FE6B37D-C82A-364C-8F80-1167ECCB08A8}" type="parTrans" cxnId="{54DA3A50-A287-7945-8043-9EE7D7974F21}">
      <dgm:prSet/>
      <dgm:spPr/>
      <dgm:t>
        <a:bodyPr/>
        <a:lstStyle/>
        <a:p>
          <a:endParaRPr lang="fr-FR" sz="2800"/>
        </a:p>
      </dgm:t>
    </dgm:pt>
    <dgm:pt modelId="{7483538D-9545-9246-AC97-1F7366371AA5}" type="sibTrans" cxnId="{54DA3A50-A287-7945-8043-9EE7D7974F21}">
      <dgm:prSet/>
      <dgm:spPr/>
      <dgm:t>
        <a:bodyPr/>
        <a:lstStyle/>
        <a:p>
          <a:endParaRPr lang="fr-FR" sz="2800"/>
        </a:p>
      </dgm:t>
    </dgm:pt>
    <dgm:pt modelId="{C96B3E48-802E-0540-A6DD-E1AEF2135EDF}" type="pres">
      <dgm:prSet presAssocID="{CCE38FBA-D750-004D-B17C-11EC6A96C290}" presName="linearFlow" presStyleCnt="0">
        <dgm:presLayoutVars>
          <dgm:dir/>
          <dgm:animLvl val="lvl"/>
          <dgm:resizeHandles val="exact"/>
        </dgm:presLayoutVars>
      </dgm:prSet>
      <dgm:spPr/>
    </dgm:pt>
    <dgm:pt modelId="{8AA259C7-4DCB-5A48-BBA2-E96AD47D6435}" type="pres">
      <dgm:prSet presAssocID="{4E845619-880C-CC4D-8ECB-853E28E8E6BA}" presName="composite" presStyleCnt="0"/>
      <dgm:spPr/>
    </dgm:pt>
    <dgm:pt modelId="{32806A6F-2928-0247-8DFD-E094A58CF70D}" type="pres">
      <dgm:prSet presAssocID="{4E845619-880C-CC4D-8ECB-853E28E8E6BA}" presName="parTx" presStyleLbl="node1" presStyleIdx="0" presStyleCnt="3">
        <dgm:presLayoutVars>
          <dgm:chMax val="0"/>
          <dgm:chPref val="0"/>
          <dgm:bulletEnabled val="1"/>
        </dgm:presLayoutVars>
      </dgm:prSet>
      <dgm:spPr/>
    </dgm:pt>
    <dgm:pt modelId="{6225CCF6-0BF1-994D-B4A9-8632EB5E35FE}" type="pres">
      <dgm:prSet presAssocID="{4E845619-880C-CC4D-8ECB-853E28E8E6BA}" presName="parSh" presStyleLbl="node1" presStyleIdx="0" presStyleCnt="3" custScaleX="121020" custScaleY="117193"/>
      <dgm:spPr/>
    </dgm:pt>
    <dgm:pt modelId="{D9CB9307-A264-0A40-BE63-035E7A5E9CF8}" type="pres">
      <dgm:prSet presAssocID="{4E845619-880C-CC4D-8ECB-853E28E8E6BA}" presName="desTx" presStyleLbl="fgAcc1" presStyleIdx="0" presStyleCnt="3" custScaleX="134999">
        <dgm:presLayoutVars>
          <dgm:bulletEnabled val="1"/>
        </dgm:presLayoutVars>
      </dgm:prSet>
      <dgm:spPr/>
    </dgm:pt>
    <dgm:pt modelId="{363902CE-951E-6B45-9F2F-621E5587E968}" type="pres">
      <dgm:prSet presAssocID="{50E6CA11-0FEC-524B-88EF-FC3FE0871B7F}" presName="sibTrans" presStyleLbl="sibTrans2D1" presStyleIdx="0" presStyleCnt="2"/>
      <dgm:spPr/>
    </dgm:pt>
    <dgm:pt modelId="{327F2C1A-1690-584C-A0C8-285C95609BAA}" type="pres">
      <dgm:prSet presAssocID="{50E6CA11-0FEC-524B-88EF-FC3FE0871B7F}" presName="connTx" presStyleLbl="sibTrans2D1" presStyleIdx="0" presStyleCnt="2"/>
      <dgm:spPr/>
    </dgm:pt>
    <dgm:pt modelId="{AF67908E-41F1-0F41-8975-4D9C3ED1C67B}" type="pres">
      <dgm:prSet presAssocID="{FA6467FD-2F72-7644-BB13-7E308DF8522E}" presName="composite" presStyleCnt="0"/>
      <dgm:spPr/>
    </dgm:pt>
    <dgm:pt modelId="{C2F8E943-96C6-E34D-A43A-D0BA7E743F76}" type="pres">
      <dgm:prSet presAssocID="{FA6467FD-2F72-7644-BB13-7E308DF8522E}" presName="parTx" presStyleLbl="node1" presStyleIdx="0" presStyleCnt="3">
        <dgm:presLayoutVars>
          <dgm:chMax val="0"/>
          <dgm:chPref val="0"/>
          <dgm:bulletEnabled val="1"/>
        </dgm:presLayoutVars>
      </dgm:prSet>
      <dgm:spPr/>
    </dgm:pt>
    <dgm:pt modelId="{9FF678E9-0E8C-4A4C-ACC2-A4908928A239}" type="pres">
      <dgm:prSet presAssocID="{FA6467FD-2F72-7644-BB13-7E308DF8522E}" presName="parSh" presStyleLbl="node1" presStyleIdx="1" presStyleCnt="3" custScaleX="124605" custScaleY="118252"/>
      <dgm:spPr/>
    </dgm:pt>
    <dgm:pt modelId="{29C89F63-359F-1B40-A0DF-C1232FC6D5D8}" type="pres">
      <dgm:prSet presAssocID="{FA6467FD-2F72-7644-BB13-7E308DF8522E}" presName="desTx" presStyleLbl="fgAcc1" presStyleIdx="1" presStyleCnt="3" custScaleX="129460">
        <dgm:presLayoutVars>
          <dgm:bulletEnabled val="1"/>
        </dgm:presLayoutVars>
      </dgm:prSet>
      <dgm:spPr/>
    </dgm:pt>
    <dgm:pt modelId="{96FF0110-7E5C-4149-AAF3-9F0900DC9385}" type="pres">
      <dgm:prSet presAssocID="{AD7B74DC-6395-184A-8AB9-3229285CC5C1}" presName="sibTrans" presStyleLbl="sibTrans2D1" presStyleIdx="1" presStyleCnt="2"/>
      <dgm:spPr/>
    </dgm:pt>
    <dgm:pt modelId="{ACA25B44-AFB6-1643-AD30-3FAC4790E64B}" type="pres">
      <dgm:prSet presAssocID="{AD7B74DC-6395-184A-8AB9-3229285CC5C1}" presName="connTx" presStyleLbl="sibTrans2D1" presStyleIdx="1" presStyleCnt="2"/>
      <dgm:spPr/>
    </dgm:pt>
    <dgm:pt modelId="{97343874-2B46-D147-A472-E72BC2D575A4}" type="pres">
      <dgm:prSet presAssocID="{EA7686EB-A73E-F347-B565-9F0AEA953C55}" presName="composite" presStyleCnt="0"/>
      <dgm:spPr/>
    </dgm:pt>
    <dgm:pt modelId="{859D4D3B-7511-DC48-8DBD-BFE927BF599D}" type="pres">
      <dgm:prSet presAssocID="{EA7686EB-A73E-F347-B565-9F0AEA953C55}" presName="parTx" presStyleLbl="node1" presStyleIdx="1" presStyleCnt="3">
        <dgm:presLayoutVars>
          <dgm:chMax val="0"/>
          <dgm:chPref val="0"/>
          <dgm:bulletEnabled val="1"/>
        </dgm:presLayoutVars>
      </dgm:prSet>
      <dgm:spPr/>
    </dgm:pt>
    <dgm:pt modelId="{C254DD71-00E2-2841-AAE3-5613A65ECAA0}" type="pres">
      <dgm:prSet presAssocID="{EA7686EB-A73E-F347-B565-9F0AEA953C55}" presName="parSh" presStyleLbl="node1" presStyleIdx="2" presStyleCnt="3" custScaleX="122384" custScaleY="118160"/>
      <dgm:spPr/>
    </dgm:pt>
    <dgm:pt modelId="{5555D1CD-39AC-704A-8D56-8A442082A57D}" type="pres">
      <dgm:prSet presAssocID="{EA7686EB-A73E-F347-B565-9F0AEA953C55}" presName="desTx" presStyleLbl="fgAcc1" presStyleIdx="2" presStyleCnt="3" custScaleX="128846">
        <dgm:presLayoutVars>
          <dgm:bulletEnabled val="1"/>
        </dgm:presLayoutVars>
      </dgm:prSet>
      <dgm:spPr/>
    </dgm:pt>
  </dgm:ptLst>
  <dgm:cxnLst>
    <dgm:cxn modelId="{FCE6600A-03D8-B54C-BFF5-00439C3A8EFC}" srcId="{EA7686EB-A73E-F347-B565-9F0AEA953C55}" destId="{C1A3EE02-58E5-5E41-99C5-A1D42AE7088C}" srcOrd="1" destOrd="0" parTransId="{C91645D2-B2F5-DE48-802D-9F3C4A205D1B}" sibTransId="{E2D8C049-EF89-F443-9F2B-8495B53870FA}"/>
    <dgm:cxn modelId="{D6F0C61E-37CA-084E-9A6A-01612D34E60E}" type="presOf" srcId="{791AF14B-1AF0-7B44-AC98-0FA4D6C83F92}" destId="{29C89F63-359F-1B40-A0DF-C1232FC6D5D8}" srcOrd="0" destOrd="1" presId="urn:microsoft.com/office/officeart/2005/8/layout/process3"/>
    <dgm:cxn modelId="{9BB6592A-FE8D-084A-9ABF-330FE74A2323}" type="presOf" srcId="{F282BE17-7004-5340-8EC3-87A4ADCD34A4}" destId="{5555D1CD-39AC-704A-8D56-8A442082A57D}" srcOrd="0" destOrd="2" presId="urn:microsoft.com/office/officeart/2005/8/layout/process3"/>
    <dgm:cxn modelId="{7046C43F-DB3C-EC4C-8D24-9BD05830D716}" srcId="{4E845619-880C-CC4D-8ECB-853E28E8E6BA}" destId="{26A5BFC7-73E5-934E-B0E8-220FA44F3F7F}" srcOrd="3" destOrd="0" parTransId="{DE458DD3-8067-5E4A-86BC-CE3B8D0D41EC}" sibTransId="{2B0A944F-73F8-2E4F-9769-39335035332F}"/>
    <dgm:cxn modelId="{4A187244-69C2-7548-A38E-516AE1E62528}" type="presOf" srcId="{EA7686EB-A73E-F347-B565-9F0AEA953C55}" destId="{C254DD71-00E2-2841-AAE3-5613A65ECAA0}" srcOrd="1" destOrd="0" presId="urn:microsoft.com/office/officeart/2005/8/layout/process3"/>
    <dgm:cxn modelId="{5FDBF665-2E72-FD43-BAF8-C7D2BF4A88BB}" type="presOf" srcId="{4E845619-880C-CC4D-8ECB-853E28E8E6BA}" destId="{32806A6F-2928-0247-8DFD-E094A58CF70D}" srcOrd="0" destOrd="0" presId="urn:microsoft.com/office/officeart/2005/8/layout/process3"/>
    <dgm:cxn modelId="{4F248E47-4D01-0942-88EF-8472DC9ED302}" srcId="{CCE38FBA-D750-004D-B17C-11EC6A96C290}" destId="{4E845619-880C-CC4D-8ECB-853E28E8E6BA}" srcOrd="0" destOrd="0" parTransId="{6BDB05B8-6B20-F848-AFAD-1DCF12AC8C18}" sibTransId="{50E6CA11-0FEC-524B-88EF-FC3FE0871B7F}"/>
    <dgm:cxn modelId="{2EAA424B-36E1-384A-8126-7FDE64E5CE53}" srcId="{4E845619-880C-CC4D-8ECB-853E28E8E6BA}" destId="{E1098AFF-2A75-0E45-9CD7-2B5ACD7BF278}" srcOrd="5" destOrd="0" parTransId="{8F62A809-0817-3743-B684-B65C3B07EAA2}" sibTransId="{C19806DA-903E-BC48-8C15-4A2B5432E2AA}"/>
    <dgm:cxn modelId="{EBF6944F-411D-B040-A347-28F36E2862D8}" type="presOf" srcId="{E1098AFF-2A75-0E45-9CD7-2B5ACD7BF278}" destId="{D9CB9307-A264-0A40-BE63-035E7A5E9CF8}" srcOrd="0" destOrd="5" presId="urn:microsoft.com/office/officeart/2005/8/layout/process3"/>
    <dgm:cxn modelId="{54DA3A50-A287-7945-8043-9EE7D7974F21}" srcId="{EA7686EB-A73E-F347-B565-9F0AEA953C55}" destId="{F282BE17-7004-5340-8EC3-87A4ADCD34A4}" srcOrd="2" destOrd="0" parTransId="{4FE6B37D-C82A-364C-8F80-1167ECCB08A8}" sibTransId="{7483538D-9545-9246-AC97-1F7366371AA5}"/>
    <dgm:cxn modelId="{5BFD7951-0779-594F-8D91-3309DFE4A838}" type="presOf" srcId="{166CD934-2EA6-B04C-BE75-A8523A4EE2F1}" destId="{D9CB9307-A264-0A40-BE63-035E7A5E9CF8}" srcOrd="0" destOrd="1" presId="urn:microsoft.com/office/officeart/2005/8/layout/process3"/>
    <dgm:cxn modelId="{35D99771-CC88-7F48-9A7A-155F03AD76F5}" srcId="{CCE38FBA-D750-004D-B17C-11EC6A96C290}" destId="{EA7686EB-A73E-F347-B565-9F0AEA953C55}" srcOrd="2" destOrd="0" parTransId="{A879B79B-2C60-0042-BDCB-CC6BA8751412}" sibTransId="{C84BF20A-8550-1A4D-8678-0FE7D26F8DB8}"/>
    <dgm:cxn modelId="{E97CAD54-5121-0B4D-8DF5-9DAC8F67BB98}" type="presOf" srcId="{FA6467FD-2F72-7644-BB13-7E308DF8522E}" destId="{C2F8E943-96C6-E34D-A43A-D0BA7E743F76}" srcOrd="0" destOrd="0" presId="urn:microsoft.com/office/officeart/2005/8/layout/process3"/>
    <dgm:cxn modelId="{84385075-AE8B-3644-9D4A-8246179A1F67}" type="presOf" srcId="{D212D776-4013-4B4C-B57E-4E6D0D947BB9}" destId="{5555D1CD-39AC-704A-8D56-8A442082A57D}" srcOrd="0" destOrd="0" presId="urn:microsoft.com/office/officeart/2005/8/layout/process3"/>
    <dgm:cxn modelId="{40B07656-F73C-BD4C-9984-C8E032A00A25}" srcId="{FA6467FD-2F72-7644-BB13-7E308DF8522E}" destId="{6A30F493-E64C-E146-A5A3-16AF92DDF92B}" srcOrd="0" destOrd="0" parTransId="{071405A5-6E54-D14C-8C92-1DBB7E70039F}" sibTransId="{DD81E130-B178-0140-B110-D179E081DB51}"/>
    <dgm:cxn modelId="{14DFD559-594D-D84A-94E2-4F10B6A56F9D}" type="presOf" srcId="{2764AD33-09FB-9C46-8EF1-67D585645C08}" destId="{D9CB9307-A264-0A40-BE63-035E7A5E9CF8}" srcOrd="0" destOrd="4" presId="urn:microsoft.com/office/officeart/2005/8/layout/process3"/>
    <dgm:cxn modelId="{91740686-5BBE-3445-B063-E6B414E2A580}" type="presOf" srcId="{50E6CA11-0FEC-524B-88EF-FC3FE0871B7F}" destId="{327F2C1A-1690-584C-A0C8-285C95609BAA}" srcOrd="1" destOrd="0" presId="urn:microsoft.com/office/officeart/2005/8/layout/process3"/>
    <dgm:cxn modelId="{87EE6F9C-CBA3-8940-802B-683FFA340A3A}" type="presOf" srcId="{26A5BFC7-73E5-934E-B0E8-220FA44F3F7F}" destId="{D9CB9307-A264-0A40-BE63-035E7A5E9CF8}" srcOrd="0" destOrd="3" presId="urn:microsoft.com/office/officeart/2005/8/layout/process3"/>
    <dgm:cxn modelId="{022AC39D-9220-624C-BB8F-F553E61EA76A}" type="presOf" srcId="{FA6467FD-2F72-7644-BB13-7E308DF8522E}" destId="{9FF678E9-0E8C-4A4C-ACC2-A4908928A239}" srcOrd="1" destOrd="0" presId="urn:microsoft.com/office/officeart/2005/8/layout/process3"/>
    <dgm:cxn modelId="{0416C6A1-862A-B346-B2F9-EFA267F7998F}" type="presOf" srcId="{6262CDDC-8481-5747-A79C-06299CDBF6F6}" destId="{D9CB9307-A264-0A40-BE63-035E7A5E9CF8}" srcOrd="0" destOrd="0" presId="urn:microsoft.com/office/officeart/2005/8/layout/process3"/>
    <dgm:cxn modelId="{1BA183A8-8187-0242-A2E9-F8C14C17BF3C}" srcId="{CCE38FBA-D750-004D-B17C-11EC6A96C290}" destId="{FA6467FD-2F72-7644-BB13-7E308DF8522E}" srcOrd="1" destOrd="0" parTransId="{CC768670-F04E-7246-8B00-62DEAF15516B}" sibTransId="{AD7B74DC-6395-184A-8AB9-3229285CC5C1}"/>
    <dgm:cxn modelId="{E38BB8AB-6809-0D40-A5D8-B64D2F9E8A34}" srcId="{4E845619-880C-CC4D-8ECB-853E28E8E6BA}" destId="{EBBB3229-D4A7-D447-8417-19737920F73E}" srcOrd="2" destOrd="0" parTransId="{C0AA1647-2F99-364F-9DE2-F1920613968F}" sibTransId="{A014AD1F-FE3F-1649-AC33-935146E786FD}"/>
    <dgm:cxn modelId="{4BE6B9B0-87C8-7947-A581-48E4304B02E0}" type="presOf" srcId="{AD7B74DC-6395-184A-8AB9-3229285CC5C1}" destId="{96FF0110-7E5C-4149-AAF3-9F0900DC9385}" srcOrd="0" destOrd="0" presId="urn:microsoft.com/office/officeart/2005/8/layout/process3"/>
    <dgm:cxn modelId="{C8DE9EB4-B66A-F148-B770-93658878606E}" type="presOf" srcId="{EBBB3229-D4A7-D447-8417-19737920F73E}" destId="{D9CB9307-A264-0A40-BE63-035E7A5E9CF8}" srcOrd="0" destOrd="2" presId="urn:microsoft.com/office/officeart/2005/8/layout/process3"/>
    <dgm:cxn modelId="{059B62B8-D8CD-AB4D-AFBB-738480100B4F}" type="presOf" srcId="{EA7686EB-A73E-F347-B565-9F0AEA953C55}" destId="{859D4D3B-7511-DC48-8DBD-BFE927BF599D}" srcOrd="0" destOrd="0" presId="urn:microsoft.com/office/officeart/2005/8/layout/process3"/>
    <dgm:cxn modelId="{675CADB8-67B8-5C48-9452-8556D1F0B55A}" srcId="{FA6467FD-2F72-7644-BB13-7E308DF8522E}" destId="{791AF14B-1AF0-7B44-AC98-0FA4D6C83F92}" srcOrd="1" destOrd="0" parTransId="{1A96E1E3-9C74-FF47-874B-C72E0516CEBB}" sibTransId="{0536EBD7-8DE2-DA49-A3E1-A24912434B7A}"/>
    <dgm:cxn modelId="{A1CDE2BE-0E85-3F48-BC0B-853AE99D6306}" srcId="{4E845619-880C-CC4D-8ECB-853E28E8E6BA}" destId="{166CD934-2EA6-B04C-BE75-A8523A4EE2F1}" srcOrd="1" destOrd="0" parTransId="{A99F7620-4BC2-3842-A7C2-9D547D002F8B}" sibTransId="{1A8E5572-1C8D-F14F-9A3D-F0F917B55CF2}"/>
    <dgm:cxn modelId="{F9A9A4D0-4B65-E248-BF54-226A7B6149BF}" type="presOf" srcId="{6A30F493-E64C-E146-A5A3-16AF92DDF92B}" destId="{29C89F63-359F-1B40-A0DF-C1232FC6D5D8}" srcOrd="0" destOrd="0" presId="urn:microsoft.com/office/officeart/2005/8/layout/process3"/>
    <dgm:cxn modelId="{272C02D6-9B94-484F-91CC-B0F8565E9291}" srcId="{EA7686EB-A73E-F347-B565-9F0AEA953C55}" destId="{D212D776-4013-4B4C-B57E-4E6D0D947BB9}" srcOrd="0" destOrd="0" parTransId="{F52F4AC9-CE91-BA47-9646-9FC1FC58C564}" sibTransId="{BA07B1C2-154F-AB4B-AA20-73213550DC8D}"/>
    <dgm:cxn modelId="{277A38D7-8224-9D4D-9710-00A76B0E34F2}" type="presOf" srcId="{AD7B74DC-6395-184A-8AB9-3229285CC5C1}" destId="{ACA25B44-AFB6-1643-AD30-3FAC4790E64B}" srcOrd="1" destOrd="0" presId="urn:microsoft.com/office/officeart/2005/8/layout/process3"/>
    <dgm:cxn modelId="{4577B0E0-FDBA-8A46-9783-179775A323A4}" type="presOf" srcId="{4E845619-880C-CC4D-8ECB-853E28E8E6BA}" destId="{6225CCF6-0BF1-994D-B4A9-8632EB5E35FE}" srcOrd="1" destOrd="0" presId="urn:microsoft.com/office/officeart/2005/8/layout/process3"/>
    <dgm:cxn modelId="{BDA381E6-87F6-1C4D-B0DD-8919511BC39A}" type="presOf" srcId="{50E6CA11-0FEC-524B-88EF-FC3FE0871B7F}" destId="{363902CE-951E-6B45-9F2F-621E5587E968}" srcOrd="0" destOrd="0" presId="urn:microsoft.com/office/officeart/2005/8/layout/process3"/>
    <dgm:cxn modelId="{FD9453EB-DCB2-8748-AC29-830EFF6A1376}" type="presOf" srcId="{C1A3EE02-58E5-5E41-99C5-A1D42AE7088C}" destId="{5555D1CD-39AC-704A-8D56-8A442082A57D}" srcOrd="0" destOrd="1" presId="urn:microsoft.com/office/officeart/2005/8/layout/process3"/>
    <dgm:cxn modelId="{A489DAED-9001-FD4B-ACF8-33A9CEE7196B}" srcId="{4E845619-880C-CC4D-8ECB-853E28E8E6BA}" destId="{2764AD33-09FB-9C46-8EF1-67D585645C08}" srcOrd="4" destOrd="0" parTransId="{00EE381A-4680-F942-8F25-E72082FAE434}" sibTransId="{678CAA6D-E3B4-2442-AD79-4A2EFDC1FD58}"/>
    <dgm:cxn modelId="{CA97BBF0-96F3-5A4D-AF9B-DA3FABDD8744}" srcId="{4E845619-880C-CC4D-8ECB-853E28E8E6BA}" destId="{6262CDDC-8481-5747-A79C-06299CDBF6F6}" srcOrd="0" destOrd="0" parTransId="{E08BF34A-2315-A24B-A497-43DE6911295B}" sibTransId="{D59D04A1-C708-2842-A01E-7C9F562B4831}"/>
    <dgm:cxn modelId="{4B1747FD-1298-424F-B24B-3EA39F0E0BE5}" type="presOf" srcId="{CCE38FBA-D750-004D-B17C-11EC6A96C290}" destId="{C96B3E48-802E-0540-A6DD-E1AEF2135EDF}" srcOrd="0" destOrd="0" presId="urn:microsoft.com/office/officeart/2005/8/layout/process3"/>
    <dgm:cxn modelId="{7FDF4D11-87B9-9246-AD49-E61A4772BD83}" type="presParOf" srcId="{C96B3E48-802E-0540-A6DD-E1AEF2135EDF}" destId="{8AA259C7-4DCB-5A48-BBA2-E96AD47D6435}" srcOrd="0" destOrd="0" presId="urn:microsoft.com/office/officeart/2005/8/layout/process3"/>
    <dgm:cxn modelId="{E3F99F21-8F9E-A047-90FA-5D7D820167D0}" type="presParOf" srcId="{8AA259C7-4DCB-5A48-BBA2-E96AD47D6435}" destId="{32806A6F-2928-0247-8DFD-E094A58CF70D}" srcOrd="0" destOrd="0" presId="urn:microsoft.com/office/officeart/2005/8/layout/process3"/>
    <dgm:cxn modelId="{6C5E59B8-8D32-9D40-A4FB-3931D0D5CC53}" type="presParOf" srcId="{8AA259C7-4DCB-5A48-BBA2-E96AD47D6435}" destId="{6225CCF6-0BF1-994D-B4A9-8632EB5E35FE}" srcOrd="1" destOrd="0" presId="urn:microsoft.com/office/officeart/2005/8/layout/process3"/>
    <dgm:cxn modelId="{A4669C9E-4998-3142-B6DE-BFD4F084B909}" type="presParOf" srcId="{8AA259C7-4DCB-5A48-BBA2-E96AD47D6435}" destId="{D9CB9307-A264-0A40-BE63-035E7A5E9CF8}" srcOrd="2" destOrd="0" presId="urn:microsoft.com/office/officeart/2005/8/layout/process3"/>
    <dgm:cxn modelId="{B9EE40ED-D5D8-8449-8750-717F940A5F22}" type="presParOf" srcId="{C96B3E48-802E-0540-A6DD-E1AEF2135EDF}" destId="{363902CE-951E-6B45-9F2F-621E5587E968}" srcOrd="1" destOrd="0" presId="urn:microsoft.com/office/officeart/2005/8/layout/process3"/>
    <dgm:cxn modelId="{72BA3842-26FE-EA41-9230-3B53F8C7F235}" type="presParOf" srcId="{363902CE-951E-6B45-9F2F-621E5587E968}" destId="{327F2C1A-1690-584C-A0C8-285C95609BAA}" srcOrd="0" destOrd="0" presId="urn:microsoft.com/office/officeart/2005/8/layout/process3"/>
    <dgm:cxn modelId="{AA6673A6-8716-C24F-BE3F-907A21F57221}" type="presParOf" srcId="{C96B3E48-802E-0540-A6DD-E1AEF2135EDF}" destId="{AF67908E-41F1-0F41-8975-4D9C3ED1C67B}" srcOrd="2" destOrd="0" presId="urn:microsoft.com/office/officeart/2005/8/layout/process3"/>
    <dgm:cxn modelId="{C3F22561-169B-C64A-A4FB-2609873C10AE}" type="presParOf" srcId="{AF67908E-41F1-0F41-8975-4D9C3ED1C67B}" destId="{C2F8E943-96C6-E34D-A43A-D0BA7E743F76}" srcOrd="0" destOrd="0" presId="urn:microsoft.com/office/officeart/2005/8/layout/process3"/>
    <dgm:cxn modelId="{881EEBF1-BDC2-764A-95A6-35F292BD7856}" type="presParOf" srcId="{AF67908E-41F1-0F41-8975-4D9C3ED1C67B}" destId="{9FF678E9-0E8C-4A4C-ACC2-A4908928A239}" srcOrd="1" destOrd="0" presId="urn:microsoft.com/office/officeart/2005/8/layout/process3"/>
    <dgm:cxn modelId="{709C1F59-8D82-804C-9277-1078BA176D0C}" type="presParOf" srcId="{AF67908E-41F1-0F41-8975-4D9C3ED1C67B}" destId="{29C89F63-359F-1B40-A0DF-C1232FC6D5D8}" srcOrd="2" destOrd="0" presId="urn:microsoft.com/office/officeart/2005/8/layout/process3"/>
    <dgm:cxn modelId="{A20BA3C7-7F9F-8744-A24C-8192219A53DF}" type="presParOf" srcId="{C96B3E48-802E-0540-A6DD-E1AEF2135EDF}" destId="{96FF0110-7E5C-4149-AAF3-9F0900DC9385}" srcOrd="3" destOrd="0" presId="urn:microsoft.com/office/officeart/2005/8/layout/process3"/>
    <dgm:cxn modelId="{8FEB1C8F-E6D0-C147-B8E7-489A3F847A87}" type="presParOf" srcId="{96FF0110-7E5C-4149-AAF3-9F0900DC9385}" destId="{ACA25B44-AFB6-1643-AD30-3FAC4790E64B}" srcOrd="0" destOrd="0" presId="urn:microsoft.com/office/officeart/2005/8/layout/process3"/>
    <dgm:cxn modelId="{E5BB8777-92F0-4B41-B2E6-B9C2CDCFE4E9}" type="presParOf" srcId="{C96B3E48-802E-0540-A6DD-E1AEF2135EDF}" destId="{97343874-2B46-D147-A472-E72BC2D575A4}" srcOrd="4" destOrd="0" presId="urn:microsoft.com/office/officeart/2005/8/layout/process3"/>
    <dgm:cxn modelId="{DB54B6A1-3FB8-CB44-8384-25E058F3A5A0}" type="presParOf" srcId="{97343874-2B46-D147-A472-E72BC2D575A4}" destId="{859D4D3B-7511-DC48-8DBD-BFE927BF599D}" srcOrd="0" destOrd="0" presId="urn:microsoft.com/office/officeart/2005/8/layout/process3"/>
    <dgm:cxn modelId="{6F0679B7-B786-E045-AC35-98CEBD7D05A0}" type="presParOf" srcId="{97343874-2B46-D147-A472-E72BC2D575A4}" destId="{C254DD71-00E2-2841-AAE3-5613A65ECAA0}" srcOrd="1" destOrd="0" presId="urn:microsoft.com/office/officeart/2005/8/layout/process3"/>
    <dgm:cxn modelId="{A3CD71E9-9465-884A-8B57-19DC18448CAC}" type="presParOf" srcId="{97343874-2B46-D147-A472-E72BC2D575A4}" destId="{5555D1CD-39AC-704A-8D56-8A442082A57D}" srcOrd="2" destOrd="0" presId="urn:microsoft.com/office/officeart/2005/8/layout/process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225CCF6-0BF1-994D-B4A9-8632EB5E35FE}">
      <dsp:nvSpPr>
        <dsp:cNvPr id="0" name=""/>
        <dsp:cNvSpPr/>
      </dsp:nvSpPr>
      <dsp:spPr>
        <a:xfrm>
          <a:off x="6408" y="-332828"/>
          <a:ext cx="1474067" cy="103650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41910" numCol="1" spcCol="1270" anchor="t" anchorCtr="0">
          <a:noAutofit/>
        </a:bodyPr>
        <a:lstStyle/>
        <a:p>
          <a:pPr marL="0" lvl="0" indent="0" algn="l" defTabSz="466725">
            <a:lnSpc>
              <a:spcPct val="90000"/>
            </a:lnSpc>
            <a:spcBef>
              <a:spcPct val="0"/>
            </a:spcBef>
            <a:spcAft>
              <a:spcPct val="35000"/>
            </a:spcAft>
            <a:buNone/>
          </a:pPr>
          <a:r>
            <a:rPr lang="fr-FR" sz="1050" kern="1200"/>
            <a:t>Bank Credit Process</a:t>
          </a:r>
        </a:p>
      </dsp:txBody>
      <dsp:txXfrm>
        <a:off x="6408" y="-332828"/>
        <a:ext cx="1474067" cy="691001"/>
      </dsp:txXfrm>
    </dsp:sp>
    <dsp:sp modelId="{D9CB9307-A264-0A40-BE63-035E7A5E9CF8}">
      <dsp:nvSpPr>
        <dsp:cNvPr id="0" name=""/>
        <dsp:cNvSpPr/>
      </dsp:nvSpPr>
      <dsp:spPr>
        <a:xfrm>
          <a:off x="170305" y="332828"/>
          <a:ext cx="1644336" cy="233024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66725">
            <a:lnSpc>
              <a:spcPct val="90000"/>
            </a:lnSpc>
            <a:spcBef>
              <a:spcPct val="0"/>
            </a:spcBef>
            <a:spcAft>
              <a:spcPct val="15000"/>
            </a:spcAft>
            <a:buChar char="•"/>
          </a:pPr>
          <a:r>
            <a:rPr lang="fr-FR" sz="1050" kern="1200"/>
            <a:t>Project Concept and in principle approval</a:t>
          </a:r>
        </a:p>
        <a:p>
          <a:pPr marL="57150" lvl="1" indent="-57150" algn="l" defTabSz="466725">
            <a:lnSpc>
              <a:spcPct val="90000"/>
            </a:lnSpc>
            <a:spcBef>
              <a:spcPct val="0"/>
            </a:spcBef>
            <a:spcAft>
              <a:spcPct val="15000"/>
            </a:spcAft>
            <a:buChar char="•"/>
          </a:pPr>
          <a:r>
            <a:rPr lang="fr-FR" sz="1050" kern="1200"/>
            <a:t>Deal screen and early review</a:t>
          </a:r>
        </a:p>
        <a:p>
          <a:pPr marL="57150" lvl="1" indent="-57150" algn="l" defTabSz="466725">
            <a:lnSpc>
              <a:spcPct val="90000"/>
            </a:lnSpc>
            <a:spcBef>
              <a:spcPct val="0"/>
            </a:spcBef>
            <a:spcAft>
              <a:spcPct val="15000"/>
            </a:spcAft>
            <a:buChar char="•"/>
          </a:pPr>
          <a:r>
            <a:rPr lang="fr-FR" sz="1050" kern="1200"/>
            <a:t>Due Diligence</a:t>
          </a:r>
        </a:p>
        <a:p>
          <a:pPr marL="57150" lvl="1" indent="-57150" algn="l" defTabSz="466725">
            <a:lnSpc>
              <a:spcPct val="90000"/>
            </a:lnSpc>
            <a:spcBef>
              <a:spcPct val="0"/>
            </a:spcBef>
            <a:spcAft>
              <a:spcPct val="15000"/>
            </a:spcAft>
            <a:buChar char="•"/>
          </a:pPr>
          <a:r>
            <a:rPr lang="fr-FR" sz="1050" kern="1200"/>
            <a:t>Apparaisal and </a:t>
          </a:r>
          <a:r>
            <a:rPr lang="en-US" sz="1050" u="sng" kern="1200"/>
            <a:t>Environmental and Social Safeguard Standards and Climate</a:t>
          </a:r>
          <a:endParaRPr lang="fr-FR" sz="1050" kern="1200"/>
        </a:p>
        <a:p>
          <a:pPr marL="57150" lvl="1" indent="-57150" algn="l" defTabSz="466725">
            <a:lnSpc>
              <a:spcPct val="90000"/>
            </a:lnSpc>
            <a:spcBef>
              <a:spcPct val="0"/>
            </a:spcBef>
            <a:spcAft>
              <a:spcPct val="15000"/>
            </a:spcAft>
            <a:buChar char="•"/>
          </a:pPr>
          <a:r>
            <a:rPr lang="fr-FR" sz="1050" kern="1200"/>
            <a:t>Credit approval</a:t>
          </a:r>
        </a:p>
        <a:p>
          <a:pPr marL="57150" lvl="1" indent="-57150" algn="l" defTabSz="466725">
            <a:lnSpc>
              <a:spcPct val="90000"/>
            </a:lnSpc>
            <a:spcBef>
              <a:spcPct val="0"/>
            </a:spcBef>
            <a:spcAft>
              <a:spcPct val="15000"/>
            </a:spcAft>
            <a:buChar char="•"/>
          </a:pPr>
          <a:r>
            <a:rPr lang="fr-FR" sz="1050" kern="1200"/>
            <a:t>Contract negociation and settlement</a:t>
          </a:r>
        </a:p>
      </dsp:txBody>
      <dsp:txXfrm>
        <a:off x="218466" y="380989"/>
        <a:ext cx="1548014" cy="2233923"/>
      </dsp:txXfrm>
    </dsp:sp>
    <dsp:sp modelId="{363902CE-951E-6B45-9F2F-621E5587E968}">
      <dsp:nvSpPr>
        <dsp:cNvPr id="0" name=""/>
        <dsp:cNvSpPr/>
      </dsp:nvSpPr>
      <dsp:spPr>
        <a:xfrm rot="1748">
          <a:off x="1686178" y="-138217"/>
          <a:ext cx="436089" cy="30295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fr-FR" sz="900" kern="1200"/>
        </a:p>
      </dsp:txBody>
      <dsp:txXfrm>
        <a:off x="1686178" y="-77648"/>
        <a:ext cx="345201" cy="181775"/>
      </dsp:txXfrm>
    </dsp:sp>
    <dsp:sp modelId="{9FF678E9-0E8C-4A4C-ACC2-A4908928A239}">
      <dsp:nvSpPr>
        <dsp:cNvPr id="0" name=""/>
        <dsp:cNvSpPr/>
      </dsp:nvSpPr>
      <dsp:spPr>
        <a:xfrm>
          <a:off x="2303286" y="-345099"/>
          <a:ext cx="1517734" cy="10768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41910" numCol="1" spcCol="1270" anchor="t" anchorCtr="0">
          <a:noAutofit/>
        </a:bodyPr>
        <a:lstStyle/>
        <a:p>
          <a:pPr marL="0" lvl="0" indent="0" algn="l" defTabSz="466725">
            <a:lnSpc>
              <a:spcPct val="90000"/>
            </a:lnSpc>
            <a:spcBef>
              <a:spcPct val="0"/>
            </a:spcBef>
            <a:spcAft>
              <a:spcPct val="35000"/>
            </a:spcAft>
            <a:buNone/>
          </a:pPr>
          <a:r>
            <a:rPr lang="fr-FR" sz="1050" kern="1200"/>
            <a:t>Bank Portfolio</a:t>
          </a:r>
        </a:p>
      </dsp:txBody>
      <dsp:txXfrm>
        <a:off x="2303286" y="-345099"/>
        <a:ext cx="1517734" cy="717900"/>
      </dsp:txXfrm>
    </dsp:sp>
    <dsp:sp modelId="{29C89F63-359F-1B40-A0DF-C1232FC6D5D8}">
      <dsp:nvSpPr>
        <dsp:cNvPr id="0" name=""/>
        <dsp:cNvSpPr/>
      </dsp:nvSpPr>
      <dsp:spPr>
        <a:xfrm>
          <a:off x="2522750" y="345099"/>
          <a:ext cx="1576869" cy="233024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66725">
            <a:lnSpc>
              <a:spcPct val="90000"/>
            </a:lnSpc>
            <a:spcBef>
              <a:spcPct val="0"/>
            </a:spcBef>
            <a:spcAft>
              <a:spcPct val="15000"/>
            </a:spcAft>
            <a:buChar char="•"/>
          </a:pPr>
          <a:r>
            <a:rPr lang="fr-FR" sz="1050" kern="1200"/>
            <a:t>Portfolio management</a:t>
          </a:r>
        </a:p>
        <a:p>
          <a:pPr marL="57150" lvl="1" indent="-57150" algn="l" defTabSz="466725">
            <a:lnSpc>
              <a:spcPct val="90000"/>
            </a:lnSpc>
            <a:spcBef>
              <a:spcPct val="0"/>
            </a:spcBef>
            <a:spcAft>
              <a:spcPct val="15000"/>
            </a:spcAft>
            <a:buChar char="•"/>
          </a:pPr>
          <a:r>
            <a:rPr lang="fr-FR" sz="1050" kern="1200"/>
            <a:t>Portfolio assessment</a:t>
          </a:r>
        </a:p>
      </dsp:txBody>
      <dsp:txXfrm>
        <a:off x="2568935" y="391284"/>
        <a:ext cx="1484499" cy="2237875"/>
      </dsp:txXfrm>
    </dsp:sp>
    <dsp:sp modelId="{96FF0110-7E5C-4149-AAF3-9F0900DC9385}">
      <dsp:nvSpPr>
        <dsp:cNvPr id="0" name=""/>
        <dsp:cNvSpPr/>
      </dsp:nvSpPr>
      <dsp:spPr>
        <a:xfrm rot="21599523">
          <a:off x="4012831" y="-137789"/>
          <a:ext cx="406639" cy="30295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fr-FR" sz="900" kern="1200"/>
        </a:p>
      </dsp:txBody>
      <dsp:txXfrm>
        <a:off x="4012831" y="-77191"/>
        <a:ext cx="315751" cy="181775"/>
      </dsp:txXfrm>
    </dsp:sp>
    <dsp:sp modelId="{C254DD71-00E2-2841-AAE3-5613A65ECAA0}">
      <dsp:nvSpPr>
        <dsp:cNvPr id="0" name=""/>
        <dsp:cNvSpPr/>
      </dsp:nvSpPr>
      <dsp:spPr>
        <a:xfrm>
          <a:off x="4588264" y="-338742"/>
          <a:ext cx="1490681" cy="105683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41910" numCol="1" spcCol="1270" anchor="t" anchorCtr="0">
          <a:noAutofit/>
        </a:bodyPr>
        <a:lstStyle/>
        <a:p>
          <a:pPr marL="0" lvl="0" indent="0" algn="l" defTabSz="466725">
            <a:lnSpc>
              <a:spcPct val="90000"/>
            </a:lnSpc>
            <a:spcBef>
              <a:spcPct val="0"/>
            </a:spcBef>
            <a:spcAft>
              <a:spcPct val="35000"/>
            </a:spcAft>
            <a:buNone/>
          </a:pPr>
          <a:r>
            <a:rPr lang="fr-FR" sz="1050" kern="1200"/>
            <a:t>Green Bond Portfolio</a:t>
          </a:r>
        </a:p>
      </dsp:txBody>
      <dsp:txXfrm>
        <a:off x="4588264" y="-338742"/>
        <a:ext cx="1490681" cy="704555"/>
      </dsp:txXfrm>
    </dsp:sp>
    <dsp:sp modelId="{5555D1CD-39AC-704A-8D56-8A442082A57D}">
      <dsp:nvSpPr>
        <dsp:cNvPr id="0" name=""/>
        <dsp:cNvSpPr/>
      </dsp:nvSpPr>
      <dsp:spPr>
        <a:xfrm>
          <a:off x="4797941" y="338742"/>
          <a:ext cx="1569391" cy="233024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66725">
            <a:lnSpc>
              <a:spcPct val="90000"/>
            </a:lnSpc>
            <a:spcBef>
              <a:spcPct val="0"/>
            </a:spcBef>
            <a:spcAft>
              <a:spcPct val="15000"/>
            </a:spcAft>
            <a:buChar char="•"/>
          </a:pPr>
          <a:r>
            <a:rPr lang="fr-FR" sz="1050" kern="1200"/>
            <a:t>Green indicators</a:t>
          </a:r>
        </a:p>
        <a:p>
          <a:pPr marL="57150" lvl="1" indent="-57150" algn="l" defTabSz="466725">
            <a:lnSpc>
              <a:spcPct val="90000"/>
            </a:lnSpc>
            <a:spcBef>
              <a:spcPct val="0"/>
            </a:spcBef>
            <a:spcAft>
              <a:spcPct val="15000"/>
            </a:spcAft>
            <a:buChar char="•"/>
          </a:pPr>
          <a:r>
            <a:rPr lang="fr-FR" sz="1050" kern="1200"/>
            <a:t>Green proceeds</a:t>
          </a:r>
        </a:p>
        <a:p>
          <a:pPr marL="57150" lvl="1" indent="-57150" algn="l" defTabSz="466725">
            <a:lnSpc>
              <a:spcPct val="90000"/>
            </a:lnSpc>
            <a:spcBef>
              <a:spcPct val="0"/>
            </a:spcBef>
            <a:spcAft>
              <a:spcPct val="15000"/>
            </a:spcAft>
            <a:buChar char="•"/>
          </a:pPr>
          <a:r>
            <a:rPr lang="fr-FR" sz="1050" kern="1200"/>
            <a:t>Monitoring and Reporting</a:t>
          </a:r>
        </a:p>
      </dsp:txBody>
      <dsp:txXfrm>
        <a:off x="4843907" y="384708"/>
        <a:ext cx="1477459" cy="223831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EF1E13FD04453ABE70A09AD75A7EF9"/>
        <w:category>
          <w:name w:val="General"/>
          <w:gallery w:val="placeholder"/>
        </w:category>
        <w:types>
          <w:type w:val="bbPlcHdr"/>
        </w:types>
        <w:behaviors>
          <w:behavior w:val="content"/>
        </w:behaviors>
        <w:guid w:val="{57C125B5-A58E-47DA-80CA-89C1B6AEAAE8}"/>
      </w:docPartPr>
      <w:docPartBody>
        <w:p w:rsidR="007657E6" w:rsidRDefault="009E4FA4" w:rsidP="009E4FA4">
          <w:pPr>
            <w:pStyle w:val="D2EF1E13FD04453ABE70A09AD75A7EF9"/>
          </w:pPr>
          <w:r w:rsidRPr="008F47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FA4"/>
    <w:rsid w:val="00070CC2"/>
    <w:rsid w:val="001F155B"/>
    <w:rsid w:val="00243C07"/>
    <w:rsid w:val="00541059"/>
    <w:rsid w:val="007657E6"/>
    <w:rsid w:val="008052C7"/>
    <w:rsid w:val="009215F4"/>
    <w:rsid w:val="009E4FA4"/>
    <w:rsid w:val="00AD007D"/>
    <w:rsid w:val="00B36568"/>
    <w:rsid w:val="00C41436"/>
    <w:rsid w:val="00CC275D"/>
    <w:rsid w:val="00CE4D91"/>
    <w:rsid w:val="00DB1D1C"/>
    <w:rsid w:val="00FF31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215F4"/>
    <w:rPr>
      <w:color w:val="808080"/>
    </w:rPr>
  </w:style>
  <w:style w:type="paragraph" w:customStyle="1" w:styleId="D2EF1E13FD04453ABE70A09AD75A7EF9">
    <w:name w:val="D2EF1E13FD04453ABE70A09AD75A7EF9"/>
    <w:rsid w:val="009E4F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JG">
      <a:dk1>
        <a:srgbClr val="595959"/>
      </a:dk1>
      <a:lt1>
        <a:srgbClr val="FFFFFF"/>
      </a:lt1>
      <a:dk2>
        <a:srgbClr val="497083"/>
      </a:dk2>
      <a:lt2>
        <a:srgbClr val="FDF7C6"/>
      </a:lt2>
      <a:accent1>
        <a:srgbClr val="71A084"/>
      </a:accent1>
      <a:accent2>
        <a:srgbClr val="8ECBB6"/>
      </a:accent2>
      <a:accent3>
        <a:srgbClr val="FECB78"/>
      </a:accent3>
      <a:accent4>
        <a:srgbClr val="D48756"/>
      </a:accent4>
      <a:accent5>
        <a:srgbClr val="7B3B45"/>
      </a:accent5>
      <a:accent6>
        <a:srgbClr val="FFFFFF"/>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C61A1-1FC4-4901-B7E8-8E4A3DCFE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32</Pages>
  <Words>9351</Words>
  <Characters>53303</Characters>
  <Application>Microsoft Office Word</Application>
  <DocSecurity>0</DocSecurity>
  <Lines>444</Lines>
  <Paragraphs>125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Green bond framework - ARMSWISSBANK- Draft</vt:lpstr>
      <vt:lpstr>Green bond framework - ArmSwissBank - Draft</vt:lpstr>
    </vt:vector>
  </TitlesOfParts>
  <Company/>
  <LinksUpToDate>false</LinksUpToDate>
  <CharactersWithSpaces>62529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bond framework - ARMSWISSBANK- Draft</dc:title>
  <dc:creator>E Co. &amp; DAI</dc:creator>
  <cp:lastModifiedBy>Seth Landau</cp:lastModifiedBy>
  <cp:revision>6</cp:revision>
  <cp:lastPrinted>2022-02-10T12:29:00Z</cp:lastPrinted>
  <dcterms:created xsi:type="dcterms:W3CDTF">2022-07-19T10:13:00Z</dcterms:created>
  <dcterms:modified xsi:type="dcterms:W3CDTF">2022-07-19T10:55:00Z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i4>1</vt:i4>
  </property>
</Properties>
</file>